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杭银理财幸福99半年添益2014期理财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杭银理财幸福99半年添益2014期理财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TYG6M2014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2.1014%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4.2932%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4.3269%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3.9323%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杭银理财幸福99半年添益2014期理财B款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TYG6M2014B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2.1071%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杭银理财幸福99半年添益2014期理财H款（汉口银行专属）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TYG6M2014H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2.5609%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杭银理财幸福99半年添益2014期理财W款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TYG6M2014W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2.8464%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杭银理财幸福99半年添益2014期理财ZA款（自动赎回）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TYG6M2014ZA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2.0854%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杭银理财幸福99半年添益2014期理财ZM款自动赎回（天府·优选）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TYG6M2014ZM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2.0854%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2026年7月1日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