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幸福99丰裕固收762天24205期理财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幸福99丰裕固收762天24205期理财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FYG24205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Z7002224000247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2024年8月22日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2026年9月23日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411,018,612.59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100.70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411,018,612.59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390,882,729.00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1.0515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1.0515</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丰裕固收24205期A款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FYG24205A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18,538,830.90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丰裕固收24205期B款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FYG24205B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13,426,379.67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丰裕固收24205期C款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FYG24205C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28,831,356.46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丰裕固收24205期D款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FYG24205D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6,843,112.90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丰裕固收24205期E款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FYG24205E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343,378,932.66</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丰裕固收24205期A款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3.11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丰裕固收24205期B款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3.31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丰裕固收24205期C款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丰裕固收24205期D款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丰裕固收24205期E款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本产品将继续保持固收策略，通过杠杆、票息、久期等方式增厚产品收益。</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4.20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38.50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38.08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4.36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73.54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上海信托·安吉紫梅信托贷款-2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129,354,777.24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上海信托·宁波杭开建2号信托计划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30,888,074.49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7.52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25交行TLAC非资本债01A(BC)</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22,689,196.80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5.52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24兰溪兰创PPN001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20,613,318.36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24溧水城建PPN005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20,250,670.41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4.93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23盐城国投MTN002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10,438,251.51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24瑞海投资PPN001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10,289,244.38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24合肥工投MTN002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10,237,800.96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中加享利三年债券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10,169,533.27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质押式逆回购(JRX007-000864)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6,801,312.86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1.65</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宁波杭州湾新区开发建设有限公司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上海信托·宁波杭开建2号信托计划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30,888,074.49</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安吉紫梅实业有限公司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上海信托·安吉紫梅信托贷款-2</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129,354,777.24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390,882,729.00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390,882,729.00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杭银理财幸福99丰裕固收762天24205期理财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3301040160015309811-5124205</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