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杭银理财幸福99半年添益2009期理财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杭银理财幸福99半年添益2009期理财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TYG6M2009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2.4595%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3.4649%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0.5205%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5.2433%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4.0232%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4.2717%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杭银理财幸福99半年添益2009期理财B款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TYG6M2009B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1.9383%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杭银理财幸福99半年添益2009期理财W款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TYG6M2009W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杭银理财幸福99半年添益2009期理财ZA款（自动赎回）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TYG6M2009ZA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1.8422%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2026年5月20日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