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highlight w:val="none"/>
        </w:rPr>
      </w:pPr>
      <w:bookmarkStart w:id="0" w:name="_GoBack"/>
      <w:bookmarkEnd w:id="0"/>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幸福99金钱包63号理财</w:t>
      </w:r>
      <w:r>
        <w:rPr>
          <w:rFonts w:hint="eastAsia" w:ascii="宋体" w:hAnsi="宋体" w:cs="宋体"/>
          <w:b/>
          <w:bCs/>
          <w:sz w:val="44"/>
          <w:szCs w:val="44"/>
          <w:highlight w:val="none"/>
        </w:rPr>
        <w:t>合同</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p>
      <w:pPr>
        <w:jc w:val="center"/>
        <w:rPr>
          <w:rFonts w:hint="eastAsia" w:ascii="宋体" w:hAnsi="宋体" w:cs="宋体"/>
          <w:sz w:val="32"/>
          <w:szCs w:val="32"/>
          <w:highlight w:val="none"/>
        </w:rPr>
      </w:pPr>
      <w:r>
        <w:rPr>
          <w:rFonts w:hint="eastAsia" w:ascii="宋体" w:hAnsi="宋体" w:cs="宋体"/>
          <w:sz w:val="32"/>
          <w:szCs w:val="32"/>
          <w:highlight w:val="none"/>
        </w:rPr>
        <w:t>理财计划管理人：杭银理财有限责任公司</w:t>
      </w:r>
    </w:p>
    <w:p>
      <w:pPr>
        <w:ind w:firstLine="1280" w:firstLineChars="400"/>
        <w:jc w:val="left"/>
        <w:rPr>
          <w:rFonts w:hint="eastAsia" w:ascii="宋体" w:hAnsi="宋体" w:cs="宋体"/>
          <w:sz w:val="32"/>
          <w:szCs w:val="32"/>
          <w:highlight w:val="none"/>
        </w:rPr>
      </w:pPr>
      <w:r>
        <w:rPr>
          <w:rFonts w:hint="eastAsia" w:ascii="宋体" w:hAnsi="宋体" w:cs="宋体"/>
          <w:sz w:val="32"/>
          <w:szCs w:val="32"/>
          <w:highlight w:val="none"/>
        </w:rPr>
        <w:t>理财计划托管人：</w:t>
      </w:r>
      <w:r>
        <w:rPr>
          <w:rFonts w:hint="eastAsia" w:ascii="宋体" w:hAnsi="宋体" w:eastAsia="宋体" w:cs="宋体"/>
          <w:kern w:val="2"/>
          <w:sz w:val="32"/>
          <w:szCs w:val="32"/>
          <w:highlight w:val="none"/>
          <w:lang w:val="en-US" w:eastAsia="zh-CN" w:bidi="ar-SA"/>
        </w:rPr>
        <w:t>杭州银行股份有限公司</w:t>
      </w:r>
    </w:p>
    <w:p>
      <w:pPr>
        <w:ind w:firstLine="1280" w:firstLineChars="400"/>
        <w:jc w:val="left"/>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sz w:val="32"/>
          <w:szCs w:val="32"/>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rPr>
          <w:rFonts w:hint="eastAsia" w:ascii="宋体" w:hAnsi="宋体" w:cs="宋体"/>
          <w:b/>
          <w:bCs/>
          <w:sz w:val="44"/>
          <w:szCs w:val="44"/>
          <w:highlight w:val="none"/>
        </w:rPr>
      </w:pPr>
    </w:p>
    <w:p>
      <w:pPr>
        <w:jc w:val="center"/>
        <w:outlineLvl w:val="9"/>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CN" w:bidi="ar-SA"/>
        </w:rPr>
        <w:t>幸福99金钱包63号理财</w:t>
      </w:r>
      <w:r>
        <w:rPr>
          <w:rFonts w:hint="eastAsia" w:ascii="宋体" w:hAnsi="宋体" w:cs="宋体"/>
          <w:b/>
          <w:bCs/>
          <w:sz w:val="44"/>
          <w:szCs w:val="44"/>
          <w:highlight w:val="none"/>
        </w:rPr>
        <w:t>合同文件</w:t>
      </w:r>
    </w:p>
    <w:p>
      <w:pPr>
        <w:jc w:val="center"/>
        <w:rPr>
          <w:rFonts w:hint="eastAsia" w:ascii="宋体" w:hAnsi="宋体" w:cs="宋体"/>
          <w:sz w:val="44"/>
          <w:szCs w:val="44"/>
          <w:highlight w:val="none"/>
        </w:rPr>
      </w:pPr>
    </w:p>
    <w:p>
      <w:pPr>
        <w:jc w:val="center"/>
        <w:rPr>
          <w:rFonts w:hint="eastAsia" w:ascii="宋体" w:hAnsi="宋体" w:cs="宋体"/>
          <w:sz w:val="44"/>
          <w:szCs w:val="44"/>
          <w:highlight w:val="none"/>
        </w:rPr>
      </w:pPr>
    </w:p>
    <w:tbl>
      <w:tblPr>
        <w:tblStyle w:val="11"/>
        <w:tblW w:w="8191"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5160"/>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序号</w:t>
            </w:r>
          </w:p>
        </w:tc>
        <w:tc>
          <w:tcPr>
            <w:tcW w:w="516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理财计划合同文件中的文件名称</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b/>
                <w:bCs/>
                <w:szCs w:val="21"/>
                <w:highlight w:val="none"/>
              </w:rPr>
              <w:t>文件简称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1</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幸福99金钱包63号理财</w:t>
            </w:r>
            <w:r>
              <w:rPr>
                <w:rFonts w:hint="eastAsia" w:ascii="宋体" w:hAnsi="宋体" w:cs="宋体"/>
                <w:szCs w:val="21"/>
                <w:highlight w:val="none"/>
              </w:rPr>
              <w:t>风险揭示书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2</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default" w:ascii="宋体" w:hAnsi="宋体" w:cs="宋体"/>
                <w:szCs w:val="21"/>
                <w:highlight w:val="none"/>
              </w:rPr>
            </w:pPr>
            <w:r>
              <w:rPr>
                <w:rFonts w:hint="eastAsia" w:ascii="宋体" w:hAnsi="宋体" w:eastAsia="宋体" w:cs="宋体"/>
                <w:kern w:val="2"/>
                <w:sz w:val="21"/>
                <w:szCs w:val="21"/>
                <w:highlight w:val="none"/>
                <w:lang w:val="en-US" w:eastAsia="zh-CN" w:bidi="ar-SA"/>
              </w:rPr>
              <w:t>幸福99金钱包63号理财</w:t>
            </w:r>
            <w:r>
              <w:rPr>
                <w:rFonts w:hint="eastAsia" w:ascii="宋体" w:hAnsi="宋体" w:cs="宋体"/>
                <w:szCs w:val="21"/>
                <w:highlight w:val="none"/>
              </w:rPr>
              <w:t>产品说明书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理财计划产品说明书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3</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杭银理财投资者权益须知</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投资者权益须知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4</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杭银理财理财计划投资协议书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理财计划投资协议书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5</w:t>
            </w:r>
          </w:p>
        </w:tc>
        <w:tc>
          <w:tcPr>
            <w:tcW w:w="51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szCs w:val="21"/>
                <w:highlight w:val="none"/>
              </w:rPr>
            </w:pPr>
            <w:r>
              <w:rPr>
                <w:rFonts w:hint="eastAsia" w:ascii="宋体" w:hAnsi="宋体" w:cs="宋体"/>
                <w:szCs w:val="21"/>
                <w:highlight w:val="none"/>
              </w:rPr>
              <w:t>杭银理财理财计划销售协议书</w:t>
            </w:r>
          </w:p>
        </w:tc>
        <w:tc>
          <w:tcPr>
            <w:tcW w:w="2266"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szCs w:val="21"/>
                <w:highlight w:val="none"/>
              </w:rPr>
            </w:pPr>
            <w:r>
              <w:rPr>
                <w:rFonts w:hint="eastAsia" w:ascii="宋体" w:hAnsi="宋体" w:cs="宋体"/>
                <w:szCs w:val="21"/>
                <w:highlight w:val="none"/>
              </w:rPr>
              <w:t>理财计划销售协议书</w:t>
            </w:r>
          </w:p>
        </w:tc>
      </w:tr>
    </w:tbl>
    <w:p>
      <w:pPr>
        <w:rPr>
          <w:rFonts w:ascii="宋体" w:hAnsi="宋体" w:cs="宋体"/>
          <w:bCs/>
          <w:color w:val="000000"/>
          <w:sz w:val="24"/>
          <w:highlight w:val="none"/>
        </w:rPr>
      </w:pPr>
      <w:r>
        <w:rPr>
          <w:rFonts w:ascii="宋体" w:hAnsi="宋体" w:cs="宋体"/>
          <w:bCs/>
          <w:color w:val="000000"/>
          <w:sz w:val="24"/>
          <w:highlight w:val="none"/>
        </w:rPr>
        <w:br w:type="page"/>
      </w:r>
    </w:p>
    <w:p>
      <w:pPr>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幸福99金钱包63号理财</w:t>
      </w:r>
      <w:r>
        <w:rPr>
          <w:rFonts w:hint="eastAsia" w:ascii="宋体" w:hAnsi="宋体" w:cs="宋体"/>
          <w:b/>
          <w:bCs/>
          <w:sz w:val="44"/>
          <w:szCs w:val="44"/>
          <w:highlight w:val="none"/>
        </w:rPr>
        <w:t>风险揭示书</w:t>
      </w:r>
    </w:p>
    <w:p>
      <w:pPr>
        <w:jc w:val="center"/>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9"/>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left"/>
        <w:rPr>
          <w:rFonts w:hint="eastAsia" w:ascii="宋体" w:hAnsi="宋体" w:cs="宋体"/>
          <w:b/>
          <w:sz w:val="24"/>
          <w:highlight w:val="none"/>
        </w:rPr>
      </w:pPr>
      <w:r>
        <w:rPr>
          <w:rFonts w:hint="eastAsia" w:ascii="宋体" w:hAnsi="宋体" w:cs="宋体"/>
          <w:b/>
          <w:kern w:val="2"/>
          <w:sz w:val="24"/>
          <w:szCs w:val="24"/>
          <w:highlight w:val="none"/>
          <w:lang w:val="en-US" w:eastAsia="zh" w:bidi="ar-SA"/>
        </w:rPr>
        <w:tab/>
      </w:r>
      <w:r>
        <w:rPr>
          <w:rFonts w:hint="eastAsia" w:ascii="宋体" w:hAnsi="宋体" w:cs="宋体"/>
          <w:b/>
          <w:sz w:val="24"/>
          <w:highlight w:val="none"/>
          <w:lang w:val="en-US" w:eastAsia="zh-CN"/>
        </w:rPr>
        <w:t>拟投资固定收益类资产的风险：本理财计划投资债券、资产支持证券等固定收益类资产时可能面临以下风险：国家政策、经济周期、利率等因素发生变化导致的市场风险；债券发行人的经营状况、信用质量恶化等导致的信用风险；市场成交量不足、特殊时点缺乏交易对手导致的流动性风险等。</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9"/>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5"/>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7"/>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7"/>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cs="宋体"/>
          <w:b/>
          <w:sz w:val="24"/>
          <w:highlight w:val="none"/>
          <w:lang w:eastAsia="zh"/>
        </w:rPr>
        <w:t>现金管理类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R1</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程度低，收益波动小，产品本金安全性高，收益不能实现的可能性很小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〖机构投资者〗以及〖保守型、稳健型、平衡型、成长型、进取型〗的个人投资者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20"/>
        <w:pageBreakBefore/>
        <w:widowControl/>
        <w:spacing w:line="360" w:lineRule="auto"/>
        <w:ind w:left="0" w:leftChars="0"/>
        <w:jc w:val="center"/>
        <w:outlineLvl w:val="9"/>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20"/>
        <w:pageBreakBefore/>
        <w:widowControl/>
        <w:spacing w:line="360" w:lineRule="auto"/>
        <w:ind w:firstLine="482" w:firstLineChars="200"/>
        <w:jc w:val="center"/>
        <w:outlineLvl w:val="9"/>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Style w:val="20"/>
        <w:spacing w:line="360" w:lineRule="auto"/>
        <w:ind w:left="0" w:leftChars="0" w:firstLine="0" w:firstLineChars="0"/>
        <w:jc w:val="center"/>
        <w:rPr>
          <w:rFonts w:hint="eastAsia" w:ascii="宋体" w:hAnsi="宋体" w:cs="宋体"/>
          <w:b/>
          <w:bCs/>
          <w:sz w:val="44"/>
          <w:szCs w:val="44"/>
          <w:highlight w:val="none"/>
        </w:rPr>
      </w:pPr>
      <w:r>
        <w:rPr>
          <w:rFonts w:hint="eastAsia" w:ascii="宋体" w:hAnsi="宋体" w:eastAsia="宋体" w:cs="宋体"/>
          <w:b/>
          <w:bCs/>
          <w:color w:val="000000"/>
          <w:sz w:val="44"/>
          <w:szCs w:val="44"/>
          <w:highlight w:val="none"/>
          <w:lang w:val="en-US" w:eastAsia="zh-CN" w:bidi="ar-SA"/>
        </w:rPr>
        <w:t>幸福99金钱包63号理财</w:t>
      </w:r>
      <w:r>
        <w:rPr>
          <w:rFonts w:hint="eastAsia" w:ascii="宋体" w:hAnsi="宋体" w:cs="宋体"/>
          <w:b/>
          <w:bCs/>
          <w:sz w:val="44"/>
          <w:szCs w:val="44"/>
          <w:highlight w:val="none"/>
        </w:rPr>
        <w:t>产品说明书</w:t>
      </w:r>
    </w:p>
    <w:p>
      <w:pPr>
        <w:jc w:val="center"/>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szCs w:val="24"/>
          <w:highlight w:val="none"/>
        </w:rPr>
      </w:pPr>
      <w:r>
        <w:rPr>
          <w:rFonts w:hint="eastAsia" w:ascii="宋体" w:hAnsi="宋体" w:cs="宋体"/>
          <w:color w:val="000000"/>
          <w:sz w:val="24"/>
          <w:szCs w:val="24"/>
          <w:highlight w:val="none"/>
        </w:rPr>
        <w:t>备案编号:</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Z7002226000056</w:t>
      </w:r>
      <w:r>
        <w:rPr>
          <w:rFonts w:hint="eastAsia" w:ascii="宋体" w:hAnsi="宋体" w:cs="宋体"/>
          <w:bCs/>
          <w:sz w:val="24"/>
          <w:szCs w:val="24"/>
          <w:highlight w:val="none"/>
        </w:rPr>
        <w:t>〗</w:t>
      </w:r>
    </w:p>
    <w:p>
      <w:pPr>
        <w:spacing w:line="360" w:lineRule="auto"/>
        <w:jc w:val="center"/>
        <w:rPr>
          <w:rFonts w:hint="eastAsia" w:ascii="宋体" w:hAnsi="宋体" w:cs="宋体"/>
          <w:bCs/>
          <w:sz w:val="24"/>
          <w:szCs w:val="24"/>
          <w:highlight w:val="none"/>
        </w:rPr>
      </w:pPr>
    </w:p>
    <w:p>
      <w:pPr>
        <w:numPr>
          <w:ilvl w:val="0"/>
          <w:numId w:val="8"/>
        </w:numPr>
        <w:spacing w:line="360" w:lineRule="auto"/>
        <w:ind w:firstLine="482" w:firstLineChars="200"/>
        <w:jc w:val="left"/>
        <w:outlineLvl w:val="9"/>
        <w:rPr>
          <w:rFonts w:ascii="宋体" w:hAnsi="宋体" w:cs="宋体"/>
          <w:b/>
          <w:sz w:val="24"/>
          <w:szCs w:val="24"/>
          <w:highlight w:val="none"/>
        </w:rPr>
      </w:pPr>
      <w:r>
        <w:rPr>
          <w:rFonts w:hint="eastAsia" w:ascii="宋体" w:hAnsi="宋体" w:cs="宋体"/>
          <w:b/>
          <w:sz w:val="24"/>
          <w:szCs w:val="24"/>
          <w:highlight w:val="none"/>
        </w:rPr>
        <w:t>重要须知</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本理财计划不等同于银行存款、预期收益型理财产品或其他产品。</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本理财计划仅向依据中华人民共和国有关法律法规及本理财计划产品说明书规定可以购买本理财计划的投资者发售。</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9"/>
        </w:numPr>
        <w:spacing w:line="360" w:lineRule="auto"/>
        <w:ind w:firstLine="482" w:firstLineChars="200"/>
        <w:jc w:val="left"/>
        <w:outlineLvl w:val="9"/>
        <w:rPr>
          <w:rFonts w:hint="eastAsia" w:ascii="宋体" w:hAnsi="宋体" w:cs="宋体"/>
          <w:bCs/>
          <w:sz w:val="24"/>
          <w:szCs w:val="24"/>
          <w:highlight w:val="none"/>
        </w:rPr>
      </w:pPr>
      <w:r>
        <w:rPr>
          <w:rFonts w:hint="eastAsia" w:ascii="宋体" w:hAnsi="宋体" w:cs="宋体"/>
          <w:b/>
          <w:sz w:val="24"/>
          <w:szCs w:val="24"/>
          <w:highlight w:val="none"/>
        </w:rPr>
        <w:t>本理财计划是非保本净值型产品。管理人对本理财计划的本金和收益不提供保证承诺。</w:t>
      </w:r>
      <w:r>
        <w:rPr>
          <w:rFonts w:hint="eastAsia" w:ascii="宋体" w:hAnsi="宋体" w:cs="宋体"/>
          <w:bCs/>
          <w:sz w:val="24"/>
          <w:szCs w:val="24"/>
          <w:highlight w:val="none"/>
        </w:rPr>
        <w:t>本理财计划主要风险为理财本金及收益风险，在极端市场情况下，投资者将损失本金，请投资者基于自身的独立判断进行投资决策。</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风险揭示书》《投资者权益须知》《理财计划投资协议书》《理财计划销售协议书》，将共同构成投资者与管理人之间的理财计划销售文件。</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投资者在购买本理财计划后，应随时关注本理财计划的信息披露情况，及时获取相关信息。如对本理财计划有任何疑问、异议或意见，请联系管理人或销售机构。</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本理财计划的任何业绩比较基准等类似表述均不具有法律约束性，不代表投资者可能获得的实际收益，不构成管理人对于本理财计划的任何收益承诺。</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在本理财计划存续期内，如因监管政策或法律法规发生变化，在不损害投资者利益的前提下，管理人有权对因上述变化导致的本理财计划说明书条款变化进行修订。</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管理人承诺以诚实守信、勤勉尽职的原则，根据本理财计划说明书所载要求管理和运用理财计划资产。</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管理人有权依法对本理财计划产品说明书进行解释。</w:t>
      </w:r>
    </w:p>
    <w:p>
      <w:pPr>
        <w:spacing w:line="360" w:lineRule="auto"/>
        <w:jc w:val="left"/>
        <w:rPr>
          <w:rFonts w:hint="eastAsia" w:ascii="宋体" w:hAnsi="宋体" w:cs="宋体"/>
          <w:bCs/>
          <w:highlight w:val="none"/>
        </w:rPr>
      </w:pPr>
    </w:p>
    <w:p>
      <w:pPr>
        <w:numPr>
          <w:ilvl w:val="0"/>
          <w:numId w:val="10"/>
        </w:numPr>
        <w:spacing w:line="360" w:lineRule="auto"/>
        <w:ind w:firstLine="422" w:firstLineChars="200"/>
        <w:jc w:val="left"/>
        <w:outlineLvl w:val="9"/>
        <w:rPr>
          <w:rFonts w:ascii="宋体" w:hAnsi="宋体" w:cs="宋体"/>
          <w:b/>
          <w:highlight w:val="none"/>
        </w:rPr>
      </w:pPr>
      <w:r>
        <w:rPr>
          <w:rFonts w:hint="eastAsia" w:ascii="宋体" w:hAnsi="宋体" w:cs="宋体"/>
          <w:b/>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指杭银理财有限责任公司，主要从事面向不特定社会公众公开发行理财产品、面向合格投资者非公开发行理财产品、理财顾问和咨询服务等相关业务。杭银理财有限责任公司简称杭银理财，官网网站为https://</w:t>
      </w:r>
      <w:r>
        <w:rPr>
          <w:rFonts w:hint="eastAsia" w:ascii="宋体" w:hAnsi="宋体" w:cs="宋体"/>
          <w:bCs/>
          <w:color w:val="auto"/>
          <w:kern w:val="2"/>
          <w:highlight w:val="none"/>
        </w:rPr>
        <w:fldChar w:fldCharType="begin"/>
      </w:r>
      <w:r>
        <w:rPr>
          <w:rFonts w:hint="eastAsia" w:ascii="宋体" w:hAnsi="宋体" w:cs="宋体"/>
          <w:bCs/>
          <w:color w:val="auto"/>
          <w:kern w:val="2"/>
          <w:highlight w:val="none"/>
        </w:rPr>
        <w:instrText xml:space="preserve"> HYPERLINK "http://www.hzbank.com.cn" </w:instrText>
      </w:r>
      <w:r>
        <w:rPr>
          <w:rFonts w:hint="eastAsia" w:ascii="宋体" w:hAnsi="宋体" w:cs="宋体"/>
          <w:bCs/>
          <w:color w:val="auto"/>
          <w:kern w:val="2"/>
          <w:highlight w:val="none"/>
        </w:rPr>
        <w:fldChar w:fldCharType="separate"/>
      </w:r>
      <w:r>
        <w:rPr>
          <w:rFonts w:hint="eastAsia" w:ascii="宋体" w:hAnsi="宋体" w:cs="宋体"/>
          <w:bCs/>
          <w:color w:val="auto"/>
          <w:kern w:val="2"/>
          <w:highlight w:val="none"/>
        </w:rPr>
        <w:t>www.hzbankwealth.com.cn</w:t>
      </w:r>
      <w:r>
        <w:rPr>
          <w:rFonts w:hint="eastAsia" w:ascii="宋体" w:hAnsi="宋体" w:cs="宋体"/>
          <w:bCs/>
          <w:color w:val="auto"/>
          <w:kern w:val="2"/>
          <w:highlight w:val="none"/>
        </w:rPr>
        <w:fldChar w:fldCharType="end"/>
      </w:r>
      <w:r>
        <w:rPr>
          <w:rFonts w:hint="eastAsia" w:ascii="宋体" w:hAnsi="宋体" w:cs="宋体"/>
          <w:bCs/>
          <w:color w:val="auto"/>
          <w:kern w:val="2"/>
          <w:highlight w:val="none"/>
        </w:rPr>
        <w:t>，客服电话400-8950-999。</w:t>
      </w:r>
    </w:p>
    <w:p>
      <w:pPr>
        <w:pStyle w:val="20"/>
        <w:numPr>
          <w:ilvl w:val="0"/>
          <w:numId w:val="12"/>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rPr>
        <w:fldChar w:fldCharType="begin"/>
      </w:r>
      <w:r>
        <w:rPr>
          <w:rFonts w:hint="eastAsia" w:ascii="宋体" w:hAnsi="宋体" w:cs="宋体"/>
          <w:bCs/>
          <w:color w:val="000000"/>
          <w:kern w:val="2"/>
          <w:highlight w:val="none"/>
        </w:rPr>
        <w:instrText xml:space="preserve"> HYPERLINK "http://www.hzbank.com.cn" </w:instrText>
      </w:r>
      <w:r>
        <w:rPr>
          <w:rFonts w:hint="eastAsia" w:ascii="宋体" w:hAnsi="宋体" w:cs="宋体"/>
          <w:bCs/>
          <w:color w:val="000000"/>
          <w:kern w:val="2"/>
          <w:highlight w:val="none"/>
        </w:rPr>
        <w:fldChar w:fldCharType="separate"/>
      </w:r>
      <w:r>
        <w:rPr>
          <w:rFonts w:hint="eastAsia" w:ascii="宋体" w:hAnsi="宋体" w:cs="宋体"/>
          <w:bCs/>
          <w:color w:val="000000"/>
          <w:kern w:val="2"/>
          <w:highlight w:val="none"/>
        </w:rPr>
        <w:t>www.hzbank.com.cn</w:t>
      </w:r>
      <w:r>
        <w:rPr>
          <w:rFonts w:hint="eastAsia" w:ascii="宋体" w:hAnsi="宋体" w:cs="宋体"/>
          <w:bCs/>
          <w:color w:val="000000"/>
          <w:kern w:val="2"/>
          <w:highlight w:val="none"/>
        </w:rPr>
        <w:fldChar w:fldCharType="end"/>
      </w:r>
      <w:r>
        <w:rPr>
          <w:rFonts w:hint="eastAsia" w:ascii="宋体" w:hAnsi="宋体" w:cs="宋体"/>
          <w:bCs/>
          <w:color w:val="000000"/>
          <w:kern w:val="2"/>
          <w:highlight w:val="none"/>
        </w:rPr>
        <w:t>，客服热线为95398。</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highlight w:val="none"/>
        </w:rPr>
        <w:t>〗</w:t>
      </w:r>
      <w:r>
        <w:rPr>
          <w:rFonts w:hint="eastAsia" w:ascii="宋体" w:hAnsi="宋体" w:cs="宋体"/>
          <w:bCs/>
          <w:color w:val="auto"/>
          <w:kern w:val="2"/>
          <w:highlight w:val="none"/>
        </w:rPr>
        <w:t>。</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国家金融监督管理总局、中国证券监督管理委员会、外汇管理局、银行业理财登记托管中心等。</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理财计划销售协议书：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color w:val="auto"/>
          <w:kern w:val="2"/>
          <w:highlight w:val="none"/>
        </w:rPr>
        <w:t>合同不可分割组成部分的理财计划销售协议书，以及对该文件的有效修改与补充。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指《理财计划风险揭示书》《理财计划产品说明书》《投资者权益须知》《理财计划投资协议书》《理财计划销售协议书》五个部分。</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幸福99金钱包63号理财</w:t>
      </w:r>
      <w:r>
        <w:rPr>
          <w:rFonts w:hint="eastAsia" w:ascii="宋体" w:hAnsi="宋体" w:cs="宋体"/>
          <w:bCs/>
          <w:highlight w:val="none"/>
        </w:rPr>
        <w:t>。</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14"/>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14"/>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的正常交易日。如涉及到监管条例部分，统一以监管条例表述替代。</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指理财计划成立后，理财计划不接受投资者申购赎回的时间。</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指管理人确认投资者申购、赎回交易是否有效的日期。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指理财计划赎回开放期内，投资者向管理人进行理财计划份额卖出的行为。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其他费用：</w:t>
      </w:r>
      <w:r>
        <w:rPr>
          <w:rFonts w:hint="eastAsia" w:ascii="宋体" w:hAnsi="宋体" w:cs="宋体"/>
          <w:bCs/>
          <w:highlight w:val="none"/>
        </w:rPr>
        <w:t>指除理财计划费用以外，理财计划涉及的其他相关费用，包括但不限于认购费、申购费、赎回费、投顾费等，具体以本说明书第八条约定为准。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流</w:t>
      </w:r>
      <w:r>
        <w:rPr>
          <w:rFonts w:hint="eastAsia"/>
          <w:b/>
          <w:highlight w:val="none"/>
        </w:rPr>
        <w:t>动性受限资产：</w:t>
      </w:r>
      <w:r>
        <w:rPr>
          <w:rFonts w:hint="eastAsia"/>
          <w:highlight w:val="none"/>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b/>
          <w:bCs/>
          <w:highlight w:val="none"/>
        </w:rPr>
        <w:t>7个工作日可变现资产：</w:t>
      </w:r>
      <w:r>
        <w:rPr>
          <w:rFonts w:hint="eastAsia"/>
          <w:highlight w:val="none"/>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11"/>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15"/>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摆动定价机制：</w:t>
      </w:r>
      <w:r>
        <w:rPr>
          <w:rFonts w:hint="eastAsia" w:ascii="宋体" w:hAnsi="宋体" w:cs="宋体"/>
          <w:bCs/>
          <w:color w:val="auto"/>
          <w:kern w:val="2"/>
          <w:highlight w:val="none"/>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短期赎回费机制：</w:t>
      </w:r>
      <w:r>
        <w:rPr>
          <w:rFonts w:hint="eastAsia" w:ascii="宋体" w:hAnsi="宋体" w:cs="宋体"/>
          <w:bCs/>
          <w:color w:val="auto"/>
          <w:kern w:val="2"/>
          <w:highlight w:val="none"/>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adjustRightInd/>
        <w:spacing w:line="360" w:lineRule="auto"/>
        <w:rPr>
          <w:rFonts w:hint="eastAsia" w:ascii="宋体" w:hAnsi="宋体" w:cs="宋体"/>
          <w:b/>
          <w:color w:val="auto"/>
          <w:kern w:val="2"/>
          <w:highlight w:val="none"/>
        </w:rPr>
      </w:pPr>
    </w:p>
    <w:p>
      <w:pPr>
        <w:pStyle w:val="20"/>
        <w:numPr>
          <w:ilvl w:val="0"/>
          <w:numId w:val="17"/>
        </w:numPr>
        <w:adjustRightInd/>
        <w:spacing w:line="360" w:lineRule="auto"/>
        <w:ind w:firstLine="482" w:firstLineChars="200"/>
        <w:outlineLvl w:val="9"/>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R1</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进取型</w:t>
            </w:r>
          </w:p>
        </w:tc>
      </w:tr>
    </w:tbl>
    <w:p>
      <w:pPr>
        <w:pStyle w:val="20"/>
        <w:adjustRightInd/>
        <w:spacing w:line="360" w:lineRule="auto"/>
        <w:ind w:firstLine="480" w:firstLineChars="200"/>
        <w:rPr>
          <w:rFonts w:ascii="宋体" w:hAnsi="宋体" w:cs="宋体"/>
          <w:bCs/>
          <w:color w:val="auto"/>
          <w:kern w:val="2"/>
          <w:highlight w:val="none"/>
        </w:rPr>
      </w:pPr>
      <w:r>
        <w:rPr>
          <w:rFonts w:hint="eastAsia" w:ascii="宋体" w:hAnsi="宋体" w:cs="宋体"/>
          <w:bCs/>
          <w:color w:val="auto"/>
          <w:kern w:val="2"/>
          <w:highlight w:val="none"/>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7"/>
        </w:numPr>
        <w:adjustRightInd/>
        <w:spacing w:line="360" w:lineRule="auto"/>
        <w:outlineLvl w:val="9"/>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幸福99金钱包63号理财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eastAsia="宋体" w:cs="宋体"/>
                <w:kern w:val="2"/>
                <w:sz w:val="21"/>
                <w:szCs w:val="21"/>
                <w:highlight w:val="none"/>
                <w:lang w:val="en-US" w:eastAsia="zh-CN" w:bidi="ar-SA"/>
              </w:rPr>
              <w:t>金钱包63号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JQB2663</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Z7002226000056</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〖机构投资者〗以及〖保守型、稳健型、平衡型、成长型、进取型〗的个人投资者</w:t>
            </w:r>
            <w:r>
              <w:rPr>
                <w:rFonts w:hint="eastAsia" w:ascii="宋体" w:hAnsi="宋体" w:cs="宋体"/>
                <w:b/>
                <w:color w:val="000000"/>
                <w:sz w:val="21"/>
                <w:szCs w:val="21"/>
                <w:highlight w:val="none"/>
              </w:rPr>
              <w:t>。</w:t>
            </w:r>
            <w:r>
              <w:rPr>
                <w:rFonts w:hint="eastAsia" w:ascii="宋体" w:hAnsi="宋体" w:cs="宋体"/>
                <w:bCs/>
                <w:sz w:val="21"/>
                <w:szCs w:val="21"/>
                <w:highlight w:val="none"/>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A份额（长盈款）（销售代码〖JQB2663A〗）：普通个人投资者和机构客户。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B份额（长盈款）（销售代码〖JQB2663B〗）：普通个人投资者和机构客户。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C份额（长盈款）（销售代码〖JQB2663C〗）：普通个人投资者和机构客户。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D份额（长盈款）（销售代码〖JQB2663D〗）：普通个人投资者和机构客户。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E份额（长盈款）（销售代码〖JQB2663E〗）：普通个人投资者和机构客户。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F份额（长盈款）（销售代码〖JQB2663F〗）：普通个人投资者和机构客户。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G份额（销售代码〖JQB2663G〗）：普通个人投资者和机构客户。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H份额（长盈款）（销售代码〖JQB2663H〗）：普通个人投资者和机构客户。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J份额（鑫福款）（销售代码〖JQB2663J〗）：普通个人投资者和机构客户。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K份额（吉行专属长盈款）（销售代码〖JQB2663K〗）：普通个人投资者和机构客户。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N份额（长盈款）（销售代码〖JQB2663N〗）：普通个人投资者和机构客户。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S份额（</w:t>
            </w:r>
            <w:r>
              <w:rPr>
                <w:rFonts w:hint="eastAsia" w:ascii="宋体" w:hAnsi="宋体" w:cs="宋体"/>
                <w:b w:val="0"/>
                <w:i w:val="0"/>
                <w:caps w:val="0"/>
                <w:strike w:val="0"/>
                <w:dstrike w:val="0"/>
                <w:shadow w:val="0"/>
                <w:emboss w:val="0"/>
                <w:imprint w:val="0"/>
                <w:color w:val="000000"/>
                <w:kern w:val="2"/>
                <w:position w:val="-1"/>
                <w:sz w:val="21"/>
                <w:u w:val="none"/>
                <w:vertAlign w:val="baseline"/>
                <w:lang w:val="en-US" w:eastAsia="zh-CN"/>
              </w:rPr>
              <w:t>销售名称：</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金钱包24时私银尊享63号夜市理财S款</w:t>
            </w:r>
            <w:r>
              <w:rPr>
                <w:rFonts w:hint="eastAsia" w:ascii="宋体" w:hAnsi="宋体" w:cs="宋体"/>
                <w:b w:val="0"/>
                <w:i w:val="0"/>
                <w:caps w:val="0"/>
                <w:strike w:val="0"/>
                <w:dstrike w:val="0"/>
                <w:shadow w:val="0"/>
                <w:emboss w:val="0"/>
                <w:imprint w:val="0"/>
                <w:color w:val="000000"/>
                <w:kern w:val="2"/>
                <w:position w:val="-1"/>
                <w:sz w:val="21"/>
                <w:u w:val="none"/>
                <w:vertAlign w:val="baseline"/>
                <w:lang w:eastAsia="zh-CN"/>
              </w:rPr>
              <w:t>）（</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销售代码〖JQB2663S〗）：普通个人投资者和机构客户。</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eastAsia" w:ascii="宋体" w:hAnsi="宋体" w:cs="宋体"/>
                <w:b w:val="0"/>
                <w:i w:val="0"/>
                <w:caps w:val="0"/>
                <w:strike w:val="0"/>
                <w:dstrike w:val="0"/>
                <w:color w:val="000000"/>
                <w:kern w:val="2"/>
                <w:position w:val="-1"/>
                <w:sz w:val="21"/>
                <w:u w:val="none"/>
                <w:vertAlign w:val="baseline"/>
                <w:lang w:val="en-US" w:eastAsia="zh-CN"/>
              </w:rPr>
              <w:t>U</w:t>
            </w:r>
            <w:r>
              <w:rPr>
                <w:rFonts w:hint="default" w:ascii="宋体" w:hAnsi="宋体" w:eastAsia="宋体" w:cs="宋体"/>
                <w:b w:val="0"/>
                <w:i w:val="0"/>
                <w:caps w:val="0"/>
                <w:strike w:val="0"/>
                <w:dstrike w:val="0"/>
                <w:color w:val="000000"/>
                <w:kern w:val="2"/>
                <w:position w:val="-1"/>
                <w:sz w:val="21"/>
                <w:u w:val="none"/>
                <w:vertAlign w:val="baseline"/>
              </w:rPr>
              <w:t>份额（销售代码〖JQB2663</w:t>
            </w:r>
            <w:r>
              <w:rPr>
                <w:rFonts w:hint="eastAsia" w:ascii="宋体" w:hAnsi="宋体" w:cs="宋体"/>
                <w:b w:val="0"/>
                <w:i w:val="0"/>
                <w:caps w:val="0"/>
                <w:strike w:val="0"/>
                <w:dstrike w:val="0"/>
                <w:color w:val="000000"/>
                <w:kern w:val="2"/>
                <w:position w:val="-1"/>
                <w:sz w:val="21"/>
                <w:u w:val="none"/>
                <w:vertAlign w:val="baseline"/>
                <w:lang w:val="en-US" w:eastAsia="zh-CN"/>
              </w:rPr>
              <w:t>U</w:t>
            </w:r>
            <w:r>
              <w:rPr>
                <w:rFonts w:hint="default" w:ascii="宋体" w:hAnsi="宋体" w:eastAsia="宋体" w:cs="宋体"/>
                <w:b w:val="0"/>
                <w:i w:val="0"/>
                <w:caps w:val="0"/>
                <w:strike w:val="0"/>
                <w:dstrike w:val="0"/>
                <w:color w:val="000000"/>
                <w:kern w:val="2"/>
                <w:position w:val="-1"/>
                <w:sz w:val="21"/>
                <w:u w:val="none"/>
                <w:vertAlign w:val="baseline"/>
              </w:rPr>
              <w: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w:t>
            </w:r>
            <w:r>
              <w:rPr>
                <w:rFonts w:hint="eastAsia" w:ascii="宋体" w:hAnsi="宋体" w:cs="宋体"/>
                <w:b w:val="0"/>
                <w:i w:val="0"/>
                <w:caps w:val="0"/>
                <w:strike w:val="0"/>
                <w:dstrike w:val="0"/>
                <w:color w:val="000000"/>
                <w:kern w:val="2"/>
                <w:position w:val="-1"/>
                <w:sz w:val="21"/>
                <w:u w:val="none"/>
                <w:vertAlign w:val="baseline"/>
                <w:lang w:val="en-US" w:eastAsia="zh-CN"/>
              </w:rPr>
              <w:t>招商银行渠道销售代码</w:t>
            </w:r>
            <w:r>
              <w:rPr>
                <w:rFonts w:hint="default" w:ascii="宋体" w:hAnsi="宋体" w:eastAsia="宋体" w:cs="宋体"/>
                <w:b w:val="0"/>
                <w:i w:val="0"/>
                <w:caps w:val="0"/>
                <w:strike w:val="0"/>
                <w:dstrike w:val="0"/>
                <w:color w:val="000000"/>
                <w:kern w:val="2"/>
                <w:position w:val="-1"/>
                <w:sz w:val="21"/>
                <w:u w:val="none"/>
                <w:vertAlign w:val="baseline"/>
              </w:rPr>
              <w:t>〖</w:t>
            </w:r>
            <w:r>
              <w:rPr>
                <w:rFonts w:hint="eastAsia" w:ascii="宋体" w:hAnsi="宋体" w:cs="宋体"/>
                <w:b w:val="0"/>
                <w:i w:val="0"/>
                <w:caps w:val="0"/>
                <w:strike w:val="0"/>
                <w:dstrike w:val="0"/>
                <w:color w:val="000000"/>
                <w:kern w:val="2"/>
                <w:position w:val="-1"/>
                <w:sz w:val="21"/>
                <w:u w:val="none"/>
                <w:vertAlign w:val="baseline"/>
                <w:lang w:val="en-US" w:eastAsia="zh-CN"/>
              </w:rPr>
              <w:t>HY100003</w:t>
            </w:r>
            <w:r>
              <w:rPr>
                <w:rFonts w:hint="default" w:ascii="宋体" w:hAnsi="宋体" w:eastAsia="宋体" w:cs="宋体"/>
                <w:b w:val="0"/>
                <w:i w:val="0"/>
                <w:caps w:val="0"/>
                <w:strike w:val="0"/>
                <w:dstrike w:val="0"/>
                <w:color w:val="000000"/>
                <w:kern w:val="2"/>
                <w:position w:val="-1"/>
                <w:sz w:val="21"/>
                <w:u w:val="none"/>
                <w:vertAlign w:val="baseline"/>
              </w:rPr>
              <w:t>〗</w:t>
            </w:r>
            <w:r>
              <w:rPr>
                <w:rFonts w:hint="eastAsia" w:ascii="宋体" w:hAnsi="宋体" w:cs="宋体"/>
                <w:b w:val="0"/>
                <w:i w:val="0"/>
                <w:caps w:val="0"/>
                <w:strike w:val="0"/>
                <w:dstrike w:val="0"/>
                <w:color w:val="000000"/>
                <w:kern w:val="2"/>
                <w:position w:val="-1"/>
                <w:sz w:val="21"/>
                <w:u w:val="none"/>
                <w:vertAlign w:val="baseline"/>
                <w:lang w:val="en-US" w:eastAsia="zh-CN"/>
              </w:rPr>
              <w:t>，其他渠道</w:t>
            </w:r>
            <w:r>
              <w:rPr>
                <w:rFonts w:hint="default" w:ascii="宋体" w:hAnsi="宋体" w:eastAsia="宋体" w:cs="宋体"/>
                <w:b w:val="0"/>
                <w:i w:val="0"/>
                <w:caps w:val="0"/>
                <w:strike w:val="0"/>
                <w:dstrike w:val="0"/>
                <w:color w:val="000000"/>
                <w:kern w:val="2"/>
                <w:position w:val="-1"/>
                <w:sz w:val="21"/>
                <w:u w:val="none"/>
                <w:vertAlign w:val="baseline"/>
              </w:rPr>
              <w:t>销售代码〖JQB2663Z〗</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〖现金管理〗</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可通过杭银理财直销渠道和代理销售机构的〖营业网点、网上银行、手机银行〗等渠道购买，通过代理销售机构购买的，具体销售渠道以代理销售机构披露为准。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〖200〗亿元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〖B份额〗起点〖0.01〗元整，超过认购/申购起点部分，应为〖0.01〗元的整数倍。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〖C份额〗起点〖0.01〗元整，超过认购/申购起点部分，应为〖0.01〗元的整数倍。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〖D份额〗起点〖0.01〗元整，超过认购/申购起点部分，应为〖0.01〗元的整数倍。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〖E份额〗起点〖0.01〗元整，超过认购/申购起点部分，应为〖0.01〗元的整数倍。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〖F份额〗起点〖0.01〗元整，超过认购/申购起点部分，应为〖0.01〗元的整数倍。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〖G份额〗起点〖0.01〗元整，超过认购/申购起点部分，应为〖0.01〗元的整数倍。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〖H份额〗起点〖0.01〗元整，超过认购/申购起点部分，应为〖0.01〗元的整数倍。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〖J份额〗起点〖0.01〗元整，超过认购/申购起点部分，应为〖0.01〗元的整数倍。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〖K份额〗起点〖0.01〗元整，超过认购/申购起点部分，应为〖0.01〗元的整数倍。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〖N份额〗起点〖0.01〗元整，超过认购/申购起点部分，应为〖0.01〗元的整数倍。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〖S份额〗起点〖1〗元整，超过认购/申购起点部分，应为〖1〗元的整数倍。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U</w:t>
            </w:r>
            <w:r>
              <w:rPr>
                <w:rFonts w:hint="eastAsia" w:ascii="宋体" w:hAnsi="宋体" w:eastAsia="宋体" w:cs="宋体"/>
                <w:kern w:val="2"/>
                <w:sz w:val="21"/>
                <w:szCs w:val="21"/>
                <w:highlight w:val="none"/>
                <w:lang w:val="en-US" w:eastAsia="zh-CN" w:bidi="ar-SA"/>
              </w:rPr>
              <w:t>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〖Z份额〗起点〖0.01〗元整，超过认购/申购起点部分，应为〖0.01〗元的整数倍。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
              </w:rPr>
              <w:t>000</w:t>
            </w:r>
            <w:r>
              <w:rPr>
                <w:rFonts w:hint="eastAsia" w:ascii="宋体" w:hAnsi="宋体" w:cs="宋体"/>
                <w:sz w:val="21"/>
                <w:szCs w:val="21"/>
                <w:highlight w:val="none"/>
              </w:rPr>
              <w:t>〗</w:t>
            </w:r>
            <w:r>
              <w:rPr>
                <w:rFonts w:hint="eastAsia" w:ascii="宋体" w:hAnsi="宋体" w:cs="宋体"/>
                <w:sz w:val="21"/>
                <w:szCs w:val="21"/>
                <w:highlight w:val="none"/>
                <w:lang w:eastAsia="zh"/>
              </w:rPr>
              <w:t>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开放日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color w:val="000000"/>
                <w:sz w:val="21"/>
                <w:szCs w:val="21"/>
                <w:highlight w:val="none"/>
              </w:rPr>
              <w:t>理财计划封闭期（如有）结束后每个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〗为申购赎回开放日。</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在理财计划存续期内，管理人有权根据市场情况变化暂停申购和赎回申请，具体以管理人公告为准。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1.本理财计划在每个开放日均可进行申购和赎回。其中，工作时间之内的申购和赎回申请将在确认日，即开放日后的第</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sz w:val="21"/>
                <w:szCs w:val="21"/>
                <w:highlight w:val="none"/>
              </w:rPr>
              <w:t>〗个〖</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进行确认。</w:t>
            </w:r>
            <w:r>
              <w:rPr>
                <w:rFonts w:hint="eastAsia" w:ascii="宋体" w:hAnsi="宋体" w:cs="宋体"/>
                <w:color w:val="000000"/>
                <w:sz w:val="21"/>
                <w:szCs w:val="21"/>
                <w:highlight w:val="none"/>
              </w:rPr>
              <w:t>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。工作时间之外的申购和赎回申请，视同为下一工作时间内的预申请。</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2.工作时间为每个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0</w:t>
            </w:r>
            <w:r>
              <w:rPr>
                <w:rFonts w:hint="eastAsia" w:ascii="宋体" w:hAnsi="宋体" w:cs="宋体"/>
                <w:color w:val="000000"/>
                <w:sz w:val="21"/>
                <w:szCs w:val="21"/>
                <w:highlight w:val="none"/>
              </w:rPr>
              <w:t>:00〗至〖</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eastAsia="宋体" w:cs="宋体"/>
                <w:color w:val="000000"/>
                <w:kern w:val="2"/>
                <w:sz w:val="21"/>
                <w:szCs w:val="21"/>
                <w:lang w:val="en-US" w:eastAsia="zh-CN" w:bidi="ar"/>
              </w:rPr>
              <w:t>(不含)</w:t>
            </w:r>
            <w:r>
              <w:rPr>
                <w:rFonts w:hint="eastAsia" w:ascii="宋体" w:hAnsi="宋体" w:cs="宋体"/>
                <w:bCs/>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3.认购/开放日工作时间内提交的交易申请，在认购期结束日/开放日</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cs="宋体"/>
                <w:color w:val="000000"/>
                <w:kern w:val="0"/>
                <w:sz w:val="21"/>
                <w:szCs w:val="21"/>
                <w:highlight w:val="none"/>
              </w:rPr>
              <w:t>之前可以撤单。（具体以销售机构规定为准）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4.开放日工作时间外提交的预交易申请，在下个开放日</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cs="宋体"/>
                <w:bCs/>
                <w:color w:val="000000"/>
                <w:sz w:val="21"/>
                <w:szCs w:val="21"/>
                <w:highlight w:val="none"/>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5.上述交易安排如有调整，请以管理人公告为准。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FF0000"/>
                <w:sz w:val="21"/>
                <w:szCs w:val="21"/>
                <w:highlight w:val="none"/>
              </w:rPr>
            </w:pPr>
            <w:r>
              <w:rPr>
                <w:rFonts w:hint="eastAsia" w:ascii="宋体" w:hAnsi="宋体" w:cs="宋体"/>
                <w:color w:val="000000"/>
                <w:sz w:val="21"/>
                <w:szCs w:val="21"/>
                <w:highlight w:val="none"/>
              </w:rPr>
              <w:t>1.</w:t>
            </w:r>
            <w:r>
              <w:rPr>
                <w:rFonts w:hint="eastAsia" w:ascii="宋体" w:hAnsi="宋体" w:cs="宋体"/>
                <w:color w:val="000000"/>
                <w:sz w:val="21"/>
                <w:szCs w:val="21"/>
                <w:highlight w:val="none"/>
                <w:lang w:val="en-US" w:eastAsia="zh-CN"/>
              </w:rPr>
              <w:t>A、B、C、D、E、F、G、H、J、K、N、S份额</w:t>
            </w:r>
            <w:r>
              <w:rPr>
                <w:rFonts w:hint="eastAsia" w:ascii="宋体" w:hAnsi="宋体" w:cs="宋体"/>
                <w:color w:val="000000"/>
                <w:sz w:val="21"/>
                <w:szCs w:val="21"/>
                <w:highlight w:val="none"/>
              </w:rPr>
              <w:t>单户持有最高〖</w:t>
            </w:r>
            <w:r>
              <w:rPr>
                <w:rFonts w:hint="eastAsia" w:ascii="宋体" w:hAnsi="宋体" w:cs="宋体"/>
                <w:color w:val="000000"/>
                <w:sz w:val="21"/>
                <w:szCs w:val="21"/>
                <w:highlight w:val="none"/>
                <w:lang w:eastAsia="zh"/>
              </w:rPr>
              <w:t>金额</w:t>
            </w:r>
            <w:r>
              <w:rPr>
                <w:rFonts w:hint="eastAsia" w:ascii="宋体" w:hAnsi="宋体" w:cs="宋体"/>
                <w:color w:val="000000"/>
                <w:sz w:val="21"/>
                <w:szCs w:val="21"/>
                <w:highlight w:val="none"/>
              </w:rPr>
              <w:t>〗为</w:t>
            </w:r>
            <w:r>
              <w:rPr>
                <w:rFonts w:hint="eastAsia" w:ascii="宋体" w:hAnsi="宋体" w:eastAsia="宋体" w:cs="宋体"/>
                <w:color w:val="000000"/>
                <w:kern w:val="2"/>
                <w:sz w:val="21"/>
                <w:szCs w:val="21"/>
                <w:highlight w:val="none"/>
                <w:lang w:val="en-US" w:eastAsia="zh-CN" w:bidi="ar-SA"/>
              </w:rPr>
              <w:t>〖3〗亿元</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U份额</w:t>
            </w:r>
            <w:r>
              <w:rPr>
                <w:rFonts w:hint="eastAsia" w:ascii="宋体" w:hAnsi="宋体" w:cs="宋体"/>
                <w:color w:val="000000"/>
                <w:sz w:val="21"/>
                <w:szCs w:val="21"/>
                <w:highlight w:val="none"/>
              </w:rPr>
              <w:t>单户持有最高〖</w:t>
            </w:r>
            <w:r>
              <w:rPr>
                <w:rFonts w:hint="eastAsia" w:ascii="宋体" w:hAnsi="宋体" w:cs="宋体"/>
                <w:color w:val="000000"/>
                <w:sz w:val="21"/>
                <w:szCs w:val="21"/>
                <w:highlight w:val="none"/>
                <w:lang w:eastAsia="zh"/>
              </w:rPr>
              <w:t>金额</w:t>
            </w:r>
            <w:r>
              <w:rPr>
                <w:rFonts w:hint="eastAsia" w:ascii="宋体" w:hAnsi="宋体" w:cs="宋体"/>
                <w:color w:val="000000"/>
                <w:sz w:val="21"/>
                <w:szCs w:val="21"/>
                <w:highlight w:val="none"/>
              </w:rPr>
              <w:t>〗为</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Z份额</w:t>
            </w:r>
            <w:r>
              <w:rPr>
                <w:rFonts w:hint="eastAsia" w:ascii="宋体" w:hAnsi="宋体" w:cs="宋体"/>
                <w:color w:val="000000"/>
                <w:sz w:val="21"/>
                <w:szCs w:val="21"/>
                <w:highlight w:val="none"/>
              </w:rPr>
              <w:t>单户持有最高〖</w:t>
            </w:r>
            <w:r>
              <w:rPr>
                <w:rFonts w:hint="eastAsia" w:ascii="宋体" w:hAnsi="宋体" w:cs="宋体"/>
                <w:color w:val="000000"/>
                <w:sz w:val="21"/>
                <w:szCs w:val="21"/>
                <w:highlight w:val="none"/>
                <w:lang w:eastAsia="zh"/>
              </w:rPr>
              <w:t>金额</w:t>
            </w:r>
            <w:r>
              <w:rPr>
                <w:rFonts w:hint="eastAsia" w:ascii="宋体" w:hAnsi="宋体" w:cs="宋体"/>
                <w:color w:val="000000"/>
                <w:sz w:val="21"/>
                <w:szCs w:val="21"/>
                <w:highlight w:val="none"/>
              </w:rPr>
              <w:t>〗为</w:t>
            </w: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〗亿元</w:t>
            </w:r>
            <w:r>
              <w:rPr>
                <w:rFonts w:hint="eastAsia" w:ascii="宋体" w:hAnsi="宋体" w:cs="宋体"/>
                <w:color w:val="000000"/>
                <w:kern w:val="2"/>
                <w:sz w:val="21"/>
                <w:szCs w:val="21"/>
                <w:highlight w:val="none"/>
                <w:lang w:val="en-US" w:eastAsia="zh-CN" w:bidi="ar-SA"/>
              </w:rPr>
              <w:t>，</w:t>
            </w:r>
            <w:r>
              <w:rPr>
                <w:rFonts w:hint="eastAsia" w:ascii="宋体" w:hAnsi="宋体" w:cs="宋体"/>
                <w:color w:val="000000"/>
                <w:sz w:val="21"/>
                <w:szCs w:val="21"/>
                <w:highlight w:val="none"/>
              </w:rPr>
              <w:t>单笔赎回最低份额为〖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，超过部分应为〖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的整数倍。</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FF0000"/>
                <w:sz w:val="21"/>
                <w:szCs w:val="21"/>
                <w:highlight w:val="none"/>
              </w:rPr>
            </w:pPr>
            <w:r>
              <w:rPr>
                <w:rFonts w:hint="eastAsia" w:ascii="宋体" w:hAnsi="宋体" w:cs="宋体"/>
                <w:color w:val="000000"/>
                <w:sz w:val="21"/>
                <w:szCs w:val="21"/>
                <w:highlight w:val="none"/>
              </w:rPr>
              <w:t>2.单户最低存续份额为〖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。受理财收益分配去尾规则的影响，投资者持有理财计划份额较低时可能无法取得收益。</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cs="宋体"/>
                <w:sz w:val="21"/>
                <w:szCs w:val="21"/>
                <w:highlight w:val="none"/>
              </w:rPr>
              <w:t>3.在理财计划存续期内，管理人有权根据市场情况变化调整单户限额比例，具体以管理人公告为准。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cs="宋体"/>
                <w:sz w:val="21"/>
                <w:szCs w:val="21"/>
                <w:highlight w:val="none"/>
              </w:rPr>
              <w:t>4.本理财计划单一投资者持有份额不得超过理财计划总份额的50%，如投资者持有份额超过上述比例，管理人有权不接受上述比例之外的认购/申购申请。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sz w:val="21"/>
                <w:szCs w:val="21"/>
                <w:highlight w:val="none"/>
              </w:rPr>
              <w:t>1元</w:t>
            </w:r>
            <w:r>
              <w:rPr>
                <w:rFonts w:hint="eastAsia" w:ascii="宋体" w:hAnsi="宋体" w:cs="宋体"/>
                <w:bCs/>
                <w:sz w:val="21"/>
                <w:szCs w:val="21"/>
                <w:highlight w:val="none"/>
              </w:rPr>
              <w:t>。申购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color w:val="000000"/>
                <w:sz w:val="21"/>
                <w:szCs w:val="21"/>
                <w:highlight w:val="none"/>
              </w:rPr>
            </w:pPr>
            <w:r>
              <w:rPr>
                <w:rFonts w:hint="eastAsia" w:ascii="宋体" w:hAnsi="宋体" w:cs="宋体"/>
                <w:color w:val="000000"/>
                <w:sz w:val="21"/>
                <w:szCs w:val="21"/>
                <w:highlight w:val="none"/>
              </w:rPr>
              <w:t>本理财计划采用1.00元固定单位净值交易方式。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1.如投资者在工作时间内发起赎回申请，赎回资金确认后，最快确认日当日，即赎回申请日后的1个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〗内</w:t>
            </w:r>
            <w:r>
              <w:rPr>
                <w:rFonts w:hint="eastAsia" w:ascii="宋体" w:hAnsi="宋体" w:cs="宋体"/>
                <w:color w:val="000000"/>
                <w:sz w:val="21"/>
                <w:szCs w:val="21"/>
                <w:highlight w:val="none"/>
              </w:rPr>
              <w:t>（遇节假日顺延）支付。</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2.如投资者在工作时间外发起赎回申请，赎回资金确认后，最快确认日当日，即赎回申请日后的2个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〗内</w:t>
            </w:r>
            <w:r>
              <w:rPr>
                <w:rFonts w:hint="eastAsia" w:ascii="宋体" w:hAnsi="宋体" w:cs="宋体"/>
                <w:color w:val="000000"/>
                <w:sz w:val="21"/>
                <w:szCs w:val="21"/>
                <w:highlight w:val="none"/>
              </w:rPr>
              <w:t>（遇节假日顺延）支付。</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3.如遇资金在途或法定工作日调整，实际资金到账日以公告为准。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1.本理财计划不保障本金和收益。收益每日计算，</w:t>
            </w:r>
            <w:r>
              <w:rPr>
                <w:rFonts w:hint="eastAsia" w:ascii="宋体" w:hAnsi="宋体" w:cs="宋体"/>
                <w:sz w:val="21"/>
                <w:szCs w:val="21"/>
                <w:highlight w:val="none"/>
              </w:rPr>
              <w:t>〖</w:t>
            </w:r>
            <w:r>
              <w:rPr>
                <w:rFonts w:hint="eastAsia" w:ascii="宋体" w:hAnsi="宋体" w:cs="宋体"/>
                <w:color w:val="000000"/>
                <w:sz w:val="21"/>
                <w:szCs w:val="21"/>
                <w:highlight w:val="none"/>
              </w:rPr>
              <w:t>按日结转为份额</w:t>
            </w:r>
            <w:r>
              <w:rPr>
                <w:rFonts w:hint="eastAsia" w:ascii="宋体" w:hAnsi="宋体" w:cs="宋体"/>
                <w:sz w:val="21"/>
                <w:szCs w:val="21"/>
                <w:highlight w:val="none"/>
              </w:rPr>
              <w:t>〗。</w:t>
            </w:r>
            <w:r>
              <w:rPr>
                <w:rFonts w:hint="eastAsia" w:ascii="宋体" w:hAnsi="宋体" w:cs="宋体"/>
                <w:color w:val="000000"/>
                <w:sz w:val="21"/>
                <w:szCs w:val="21"/>
                <w:highlight w:val="none"/>
              </w:rPr>
              <w:t>具体分配方案以管理人公告为准。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2.如理财计划出现无法分红的情况，管理人有权暂停本理财计划的申购和赎回申请，具体以管理人公告为准。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1.销售服务费：</w:t>
            </w:r>
            <w:r>
              <w:rPr>
                <w:rFonts w:hint="eastAsia" w:ascii="宋体" w:hAnsi="宋体" w:eastAsia="宋体" w:cs="宋体"/>
                <w:color w:val="000000"/>
                <w:kern w:val="2"/>
                <w:sz w:val="21"/>
                <w:szCs w:val="21"/>
                <w:highlight w:val="none"/>
                <w:lang w:val="en-US" w:eastAsia="zh-CN" w:bidi="ar-SA"/>
              </w:rPr>
              <w:t>〖A份额〗收取年化〖0.20%〗的销售服务费, 〖B份额〗收取年化〖0.20%〗的销售服务费, 〖C份额〗收取年化〖0.20%〗的销售服务费, 〖D份额〗收取年化〖0.20%〗的销售服务费, 〖E份额〗收取年化〖0.20%〗的销售服务费, 〖F份额〗收取年化〖0.25%〗的销售服务费, 〖G份额〗收取年化〖0.30%〗的销售服务费, 〖H份额〗收取年化〖0.20%〗的销售服务费, 〖J份额〗收取年化〖0.20%〗的销售服务费, 〖K份额〗收取年化〖0.20%〗的销售服务费, 〖N份额〗收取年化〖0.20%〗的销售服务费, 〖S份额〗收取年化〖0.30%〗的销售服务费, 〖</w:t>
            </w:r>
            <w:r>
              <w:rPr>
                <w:rFonts w:hint="eastAsia" w:ascii="宋体" w:hAnsi="宋体" w:cs="宋体"/>
                <w:color w:val="000000"/>
                <w:kern w:val="2"/>
                <w:sz w:val="21"/>
                <w:szCs w:val="21"/>
                <w:highlight w:val="none"/>
                <w:lang w:val="en-US" w:eastAsia="zh-CN" w:bidi="ar-SA"/>
              </w:rPr>
              <w:t>U</w:t>
            </w:r>
            <w:r>
              <w:rPr>
                <w:rFonts w:hint="eastAsia" w:ascii="宋体" w:hAnsi="宋体" w:eastAsia="宋体" w:cs="宋体"/>
                <w:color w:val="000000"/>
                <w:kern w:val="2"/>
                <w:sz w:val="21"/>
                <w:szCs w:val="21"/>
                <w:highlight w:val="none"/>
                <w:lang w:val="en-US" w:eastAsia="zh-CN" w:bidi="ar-SA"/>
              </w:rPr>
              <w:t>份额〗收取年化〖0.</w:t>
            </w:r>
            <w:r>
              <w:rPr>
                <w:rFonts w:hint="eastAsia" w:ascii="宋体" w:hAnsi="宋体"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0%〗的销售服务费, 〖Z份额〗收取年化〖0.15%〗的销售服务费。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〖C份额〗收取年化〖0.30%〗的固定管理费, 〖D份额〗收取年化〖0.30%〗的固定管理费, 〖E份额〗收取年化〖0.30%〗的固定管理费, 〖F份额〗收取年化〖0.30%〗的固定管理费, 〖G份额〗收取年化〖0.15%〗的固定管理费, 〖H份额〗收取年化〖0.30%〗的固定管理费, 〖J份额〗收取年化〖0.30%〗的固定管理费, 〖K份额〗收取年化〖0.30%〗的固定管理费, 〖N份额〗收取年化〖0.30%〗的固定管理费, 〖S份额〗收取年化〖0.15%〗的固定管理费, 〖</w:t>
            </w:r>
            <w:r>
              <w:rPr>
                <w:rFonts w:hint="eastAsia" w:ascii="宋体" w:hAnsi="宋体" w:cs="宋体"/>
                <w:color w:val="000000"/>
                <w:kern w:val="2"/>
                <w:sz w:val="21"/>
                <w:szCs w:val="21"/>
                <w:highlight w:val="none"/>
                <w:lang w:val="en-US" w:eastAsia="zh-CN" w:bidi="ar-SA"/>
              </w:rPr>
              <w:t>U</w:t>
            </w:r>
            <w:r>
              <w:rPr>
                <w:rFonts w:hint="eastAsia" w:ascii="宋体" w:hAnsi="宋体" w:eastAsia="宋体" w:cs="宋体"/>
                <w:color w:val="000000"/>
                <w:kern w:val="2"/>
                <w:sz w:val="21"/>
                <w:szCs w:val="21"/>
                <w:highlight w:val="none"/>
                <w:lang w:val="en-US" w:eastAsia="zh-CN" w:bidi="ar-SA"/>
              </w:rPr>
              <w:t>份额〗收取年化〖0.</w:t>
            </w:r>
            <w:r>
              <w:rPr>
                <w:rFonts w:hint="eastAsia" w:ascii="宋体" w:hAnsi="宋体" w:cs="宋体"/>
                <w:color w:val="000000"/>
                <w:kern w:val="2"/>
                <w:sz w:val="21"/>
                <w:szCs w:val="21"/>
                <w:highlight w:val="none"/>
                <w:lang w:val="en-US" w:eastAsia="zh-CN" w:bidi="ar-SA"/>
              </w:rPr>
              <w:t>30</w:t>
            </w:r>
            <w:r>
              <w:rPr>
                <w:rFonts w:hint="eastAsia" w:ascii="宋体" w:hAnsi="宋体" w:eastAsia="宋体" w:cs="宋体"/>
                <w:color w:val="000000"/>
                <w:kern w:val="2"/>
                <w:sz w:val="21"/>
                <w:szCs w:val="21"/>
                <w:highlight w:val="none"/>
                <w:lang w:val="en-US" w:eastAsia="zh-CN" w:bidi="ar-SA"/>
              </w:rPr>
              <w:t>%〗的固定管理费, 〖Z份额〗收取年化〖0.15%〗的固定管理费。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本理财计划免除赎回费（不包含强制赎回费）。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default" w:ascii="宋体" w:hAnsi="宋体" w:cs="宋体"/>
                <w:color w:val="000000"/>
                <w:sz w:val="21"/>
                <w:szCs w:val="21"/>
                <w:highlight w:val="none"/>
              </w:rPr>
              <w:t>本理财计划免除浮动管理费。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color w:val="000000"/>
                <w:sz w:val="21"/>
                <w:szCs w:val="21"/>
                <w:highlight w:val="none"/>
              </w:rPr>
              <w:t>8</w:t>
            </w:r>
            <w:r>
              <w:rPr>
                <w:rFonts w:hint="eastAsia" w:ascii="宋体" w:hAnsi="宋体" w:cs="宋体"/>
                <w:color w:val="000000"/>
                <w:sz w:val="21"/>
                <w:szCs w:val="21"/>
                <w:highlight w:val="none"/>
              </w:rPr>
              <w:t>.强制赎回费（如有）：</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理财计划持有的现金、国债、中央银行票据、政策性金融债券以及5个交易日内到期的其他金融工具占理财计划资产净值的比例合计低于5%且偏离度为负时，管理人有权对当日单个投资者申请赎回份额超过理财计划总份额1%以上的赎回申请收取1%的强制赎回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理财计划前10名投资者的持有份额合计超过理财计划总份额的50%时，当投资组合中现金、国债、中央银行票据、政策性金融债券以及5个交易日内到期的其他金融工具占理财计划资产净值的比例合计低于10%且偏离度为负时，管理人有权对投资者超过理财计划总份额1%以上的赎回申请收取1%的强制赎回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如遇国家金融政策出现重大调整并影响到本理财计划的正常运行的、市场收益率大幅波动可能或实质影响理财计划收益等情况，管理人有权提前全部或部分终止本理财计划。具体参见说明书“交易规则”部分。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szCs w:val="24"/>
          <w:highlight w:val="none"/>
        </w:rPr>
      </w:pPr>
      <w:r>
        <w:rPr>
          <w:rFonts w:hint="eastAsia" w:ascii="宋体" w:hAnsi="宋体"/>
          <w:b/>
          <w:color w:val="000000"/>
          <w:sz w:val="24"/>
          <w:szCs w:val="24"/>
          <w:highlight w:val="none"/>
        </w:rPr>
        <w:t>特别说明：</w:t>
      </w:r>
      <w:r>
        <w:rPr>
          <w:rFonts w:hint="eastAsia" w:ascii="宋体" w:hAnsi="宋体" w:cs="宋体"/>
          <w:b/>
          <w:color w:val="000000"/>
          <w:sz w:val="24"/>
          <w:szCs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szCs w:val="24"/>
          <w:highlight w:val="none"/>
        </w:rPr>
      </w:pPr>
    </w:p>
    <w:p>
      <w:pPr>
        <w:numPr>
          <w:ilvl w:val="0"/>
          <w:numId w:val="18"/>
        </w:numPr>
        <w:spacing w:line="360" w:lineRule="auto"/>
        <w:ind w:firstLine="482" w:firstLineChars="200"/>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投资管理</w:t>
      </w:r>
    </w:p>
    <w:p>
      <w:pPr>
        <w:numPr>
          <w:ilvl w:val="0"/>
          <w:numId w:val="0"/>
        </w:numPr>
        <w:spacing w:line="360" w:lineRule="auto"/>
        <w:ind w:firstLine="480" w:firstLineChars="200"/>
        <w:outlineLvl w:val="9"/>
        <w:rPr>
          <w:rFonts w:hint="eastAsia" w:ascii="宋体" w:hAnsi="宋体" w:cs="宋体"/>
          <w:b/>
          <w:color w:val="000000"/>
          <w:sz w:val="24"/>
          <w:szCs w:val="24"/>
          <w:highlight w:val="none"/>
        </w:rPr>
      </w:pPr>
      <w:r>
        <w:rPr>
          <w:rFonts w:hint="eastAsia" w:ascii="宋体" w:hAnsi="宋体" w:cs="宋体"/>
          <w:bCs/>
          <w:color w:val="auto"/>
          <w:kern w:val="2"/>
          <w:sz w:val="24"/>
          <w:szCs w:val="24"/>
          <w:highlight w:val="none"/>
        </w:rPr>
        <w:t>本理财计划自成立日起</w:t>
      </w:r>
      <w:r>
        <w:rPr>
          <w:rFonts w:hint="eastAsia" w:ascii="宋体" w:hAnsi="宋体" w:eastAsia="宋体" w:cs="宋体"/>
          <w:bCs/>
          <w:color w:val="auto"/>
          <w:kern w:val="2"/>
          <w:sz w:val="24"/>
          <w:szCs w:val="24"/>
          <w:highlight w:val="none"/>
          <w:lang w:val="en-US" w:eastAsia="zh-CN" w:bidi="ar-SA"/>
        </w:rPr>
        <w:t>3个月</w:t>
      </w:r>
      <w:r>
        <w:rPr>
          <w:rFonts w:hint="eastAsia" w:ascii="宋体" w:hAnsi="宋体" w:cs="宋体"/>
          <w:bCs/>
          <w:color w:val="auto"/>
          <w:kern w:val="2"/>
          <w:sz w:val="24"/>
          <w:szCs w:val="24"/>
          <w:highlight w:val="none"/>
        </w:rPr>
        <w:t>为建仓期，管理人应当在建仓期结束前使各项投资比例符合约定。</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投资范围</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本理财计划直接或间接通过资管产品投资于符合监管要求的以下固定收益类资产：</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现金；</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期限</w:t>
      </w:r>
      <w:r>
        <w:rPr>
          <w:rFonts w:hint="eastAsia" w:ascii="宋体" w:hAnsi="宋体" w:cs="宋体"/>
          <w:color w:val="333333"/>
          <w:sz w:val="24"/>
          <w:szCs w:val="24"/>
          <w:highlight w:val="none"/>
          <w:shd w:val="clear" w:color="auto" w:fill="FFFFFF"/>
        </w:rPr>
        <w:t>在1年以内（含1年）的银行存款、债券回购、中央银行票据、同业存单；</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color w:val="333333"/>
          <w:sz w:val="24"/>
          <w:szCs w:val="24"/>
          <w:highlight w:val="none"/>
          <w:shd w:val="clear" w:color="auto" w:fill="FFFFFF"/>
        </w:rPr>
        <w:t>剩余期限在397天以内（含397天）的债券、在银行间市场和证券交易所市场发行的资产支持证券；</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国家金融监督管理总局、中国人民银行认可的其他具有良好流动性的货币市场工具。</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债券的信用等级应当主要参照最近一个会计年度的主体信用评级，如果对发行人同时有两家以上境内评级机构评级的，应当选择使用评级较低、违约概率较大的外部评级结果。管理人将不完全依赖外部评级机构的评级结果，还将结合内部评级进行独立判断和认定。同时，本理财计划与相关交易对手开展买入返售交易的，可接受的合格质押品应当与本理财计划约定的投资范围保持一致。</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投资比例</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本理财计划各投资资产占总资产的配置比例如下：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100%</w:t>
            </w:r>
          </w:p>
        </w:tc>
      </w:tr>
    </w:tbl>
    <w:p>
      <w:pPr>
        <w:pStyle w:val="20"/>
        <w:adjustRightInd/>
        <w:spacing w:line="360" w:lineRule="auto"/>
        <w:ind w:firstLine="456" w:firstLineChars="190"/>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本理财计划特殊资产类型为基于大类资产类型项下的进一步细化分类，其配置比例不得超过大类资产配置比例。</w:t>
      </w:r>
    </w:p>
    <w:p>
      <w:pPr>
        <w:pStyle w:val="20"/>
        <w:adjustRightInd/>
        <w:spacing w:line="360" w:lineRule="auto"/>
        <w:ind w:firstLine="480" w:firstLineChars="200"/>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投资策略</w:t>
      </w:r>
    </w:p>
    <w:p>
      <w:pPr>
        <w:pStyle w:val="20"/>
        <w:numPr>
          <w:ilvl w:val="0"/>
          <w:numId w:val="21"/>
        </w:numPr>
        <w:adjustRightInd/>
        <w:spacing w:line="360" w:lineRule="auto"/>
        <w:ind w:firstLine="480" w:firstLineChars="200"/>
        <w:rPr>
          <w:rFonts w:hint="eastAsia" w:ascii="宋体" w:hAnsi="宋体" w:cs="宋体"/>
          <w:bCs/>
          <w:color w:val="000000"/>
          <w:kern w:val="2"/>
          <w:sz w:val="24"/>
          <w:szCs w:val="24"/>
          <w:highlight w:val="none"/>
        </w:rPr>
      </w:pPr>
      <w:r>
        <w:rPr>
          <w:rFonts w:hint="eastAsia" w:ascii="宋体" w:hAnsi="宋体" w:cs="宋体"/>
          <w:bCs/>
          <w:color w:val="000000"/>
          <w:kern w:val="2"/>
          <w:sz w:val="24"/>
          <w:szCs w:val="24"/>
          <w:highlight w:val="none"/>
        </w:rPr>
        <w:t>资产配置策略</w:t>
      </w:r>
    </w:p>
    <w:p>
      <w:pPr>
        <w:pStyle w:val="20"/>
        <w:adjustRightInd/>
        <w:spacing w:line="360" w:lineRule="auto"/>
        <w:ind w:firstLine="480" w:firstLineChars="200"/>
        <w:rPr>
          <w:rFonts w:ascii="宋体" w:cs="宋体"/>
          <w:color w:val="000000"/>
          <w:sz w:val="24"/>
          <w:szCs w:val="24"/>
          <w:highlight w:val="none"/>
        </w:rPr>
      </w:pPr>
      <w:r>
        <w:rPr>
          <w:rFonts w:hint="eastAsia" w:ascii="宋体" w:hAnsi="宋体" w:cs="宋体"/>
          <w:bCs/>
          <w:color w:val="000000"/>
          <w:kern w:val="2"/>
          <w:sz w:val="24"/>
          <w:szCs w:val="24"/>
          <w:highlight w:val="none"/>
        </w:rPr>
        <w:t>将通过对宏观经济形势、各项国家政策、及证券市场环境的分析来判断经济周期目前的位置，主动判断市场时机进行固定收益类资产配置，确定在货币市场工具类、债券类、其他符合监管要求的固定收益类资产上的投资比例。</w:t>
      </w:r>
    </w:p>
    <w:p>
      <w:pPr>
        <w:numPr>
          <w:ilvl w:val="0"/>
          <w:numId w:val="2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债券投资策略</w:t>
      </w:r>
    </w:p>
    <w:p>
      <w:pPr>
        <w:pStyle w:val="20"/>
        <w:adjustRightInd/>
        <w:spacing w:line="360" w:lineRule="auto"/>
        <w:ind w:firstLine="480" w:firstLineChars="200"/>
        <w:rPr>
          <w:rFonts w:hint="eastAsia" w:ascii="宋体" w:hAnsi="宋体" w:cs="宋体"/>
          <w:bCs/>
          <w:color w:val="FF0000"/>
          <w:sz w:val="24"/>
          <w:szCs w:val="24"/>
          <w:highlight w:val="none"/>
        </w:rPr>
      </w:pPr>
      <w:r>
        <w:rPr>
          <w:rFonts w:hint="eastAsia" w:ascii="宋体" w:hAnsi="宋体" w:cs="宋体"/>
          <w:bCs/>
          <w:color w:val="000000"/>
          <w:kern w:val="2"/>
          <w:sz w:val="24"/>
          <w:szCs w:val="24"/>
          <w:highlight w:val="none"/>
        </w:rPr>
        <w:t>管理人本着稳健投资的理念，采用安全性和流动性优先、优选投资品种，在资产配置上以较大比例配置投资级别的债券、回购、存放同业等资产，通过组合管理实现稳健收益。</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投资限制</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投向限制</w:t>
      </w:r>
    </w:p>
    <w:p>
      <w:pPr>
        <w:spacing w:line="360" w:lineRule="auto"/>
        <w:ind w:left="420" w:leftChars="200"/>
        <w:jc w:val="left"/>
        <w:rPr>
          <w:rFonts w:ascii="宋体" w:hAnsi="宋体" w:cs="宋体"/>
          <w:bCs/>
          <w:sz w:val="24"/>
          <w:szCs w:val="24"/>
          <w:highlight w:val="none"/>
        </w:rPr>
      </w:pPr>
      <w:r>
        <w:rPr>
          <w:rFonts w:hint="eastAsia" w:ascii="宋体" w:hAnsi="宋体" w:cs="宋体"/>
          <w:bCs/>
          <w:sz w:val="24"/>
          <w:szCs w:val="24"/>
          <w:highlight w:val="none"/>
        </w:rPr>
        <w:t>本理财计划不得投资于以下资产：</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股票；</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可转换债券、可交换债券；</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以</w:t>
      </w:r>
      <w:r>
        <w:rPr>
          <w:rFonts w:hint="eastAsia" w:ascii="宋体" w:hAnsi="宋体" w:cs="宋体"/>
          <w:color w:val="333333"/>
          <w:sz w:val="24"/>
          <w:szCs w:val="24"/>
          <w:highlight w:val="none"/>
          <w:shd w:val="clear" w:color="auto" w:fill="FFFFFF"/>
        </w:rPr>
        <w:t>定期存款利率为基准利率的浮动利率债券，已进入最后一个利率调整期的除外；</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信用等级在AA+以下的债券、资产支持证券；</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国家金融监督管理总局、中国人民银行禁止投资的其他金融工具。</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投资集中度限制</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color w:val="000000"/>
          <w:sz w:val="24"/>
          <w:szCs w:val="24"/>
          <w:highlight w:val="none"/>
        </w:rPr>
        <w:t>本理</w:t>
      </w:r>
      <w:r>
        <w:rPr>
          <w:rFonts w:hint="eastAsia" w:ascii="宋体" w:hAnsi="宋体" w:cs="宋体"/>
          <w:bCs/>
          <w:sz w:val="24"/>
          <w:szCs w:val="24"/>
          <w:highlight w:val="none"/>
        </w:rPr>
        <w:t>财计划持有单只证券或单只公募</w:t>
      </w:r>
      <w:r>
        <w:rPr>
          <w:rFonts w:ascii="宋体" w:hAnsi="宋体" w:cs="宋体"/>
          <w:bCs/>
          <w:sz w:val="24"/>
          <w:szCs w:val="24"/>
          <w:highlight w:val="none"/>
        </w:rPr>
        <w:fldChar w:fldCharType="begin"/>
      </w:r>
      <w:r>
        <w:rPr>
          <w:rFonts w:ascii="宋体" w:hAnsi="宋体" w:cs="宋体"/>
          <w:bCs/>
          <w:sz w:val="24"/>
          <w:szCs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szCs w:val="24"/>
          <w:highlight w:val="none"/>
        </w:rPr>
        <w:fldChar w:fldCharType="separate"/>
      </w:r>
      <w:r>
        <w:rPr>
          <w:rFonts w:ascii="宋体" w:hAnsi="宋体" w:cs="宋体"/>
          <w:bCs/>
          <w:sz w:val="24"/>
          <w:szCs w:val="24"/>
          <w:highlight w:val="none"/>
        </w:rPr>
        <w:t>证券投资基金</w:t>
      </w:r>
      <w:r>
        <w:rPr>
          <w:rFonts w:ascii="宋体" w:hAnsi="宋体" w:cs="宋体"/>
          <w:bCs/>
          <w:sz w:val="24"/>
          <w:szCs w:val="24"/>
          <w:highlight w:val="none"/>
        </w:rPr>
        <w:fldChar w:fldCharType="end"/>
      </w:r>
      <w:r>
        <w:rPr>
          <w:rFonts w:ascii="宋体" w:hAnsi="宋体" w:cs="宋体"/>
          <w:bCs/>
          <w:sz w:val="24"/>
          <w:szCs w:val="24"/>
          <w:highlight w:val="none"/>
        </w:rPr>
        <w:t>的市值不得超过该理财</w:t>
      </w:r>
      <w:r>
        <w:rPr>
          <w:rFonts w:hint="eastAsia" w:ascii="宋体" w:hAnsi="宋体" w:cs="宋体"/>
          <w:bCs/>
          <w:sz w:val="24"/>
          <w:szCs w:val="24"/>
          <w:highlight w:val="none"/>
        </w:rPr>
        <w:t>计划</w:t>
      </w:r>
      <w:r>
        <w:rPr>
          <w:rFonts w:ascii="宋体" w:hAnsi="宋体" w:cs="宋体"/>
          <w:bCs/>
          <w:sz w:val="24"/>
          <w:szCs w:val="24"/>
          <w:highlight w:val="none"/>
        </w:rPr>
        <w:t>净资产</w:t>
      </w:r>
      <w:r>
        <w:rPr>
          <w:rFonts w:hint="eastAsia" w:ascii="宋体" w:hAnsi="宋体" w:cs="宋体"/>
          <w:bCs/>
          <w:sz w:val="24"/>
          <w:szCs w:val="24"/>
          <w:highlight w:val="none"/>
        </w:rPr>
        <w:t>的</w:t>
      </w:r>
      <w:r>
        <w:rPr>
          <w:rFonts w:ascii="宋体" w:hAnsi="宋体" w:cs="宋体"/>
          <w:bCs/>
          <w:sz w:val="24"/>
          <w:szCs w:val="24"/>
          <w:highlight w:val="none"/>
        </w:rPr>
        <w:t>10%</w:t>
      </w:r>
      <w:r>
        <w:rPr>
          <w:rFonts w:hint="eastAsia" w:ascii="宋体" w:hAnsi="宋体" w:cs="宋体"/>
          <w:bCs/>
          <w:sz w:val="24"/>
          <w:szCs w:val="24"/>
          <w:highlight w:val="none"/>
        </w:rPr>
        <w:t>。</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本理财计划投资于同一机构发行的债券及其作为原始权益人的资产支持证券的比例合计不得超过理财计划资产净值的10%，投资于国债、中央银行票据、政策性金融债券的除外。</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本理财计划投资于所有主体信用评级</w:t>
      </w:r>
      <w:r>
        <w:rPr>
          <w:rFonts w:hint="eastAsia" w:ascii="宋体" w:hAnsi="宋体" w:cs="宋体"/>
          <w:color w:val="333333"/>
          <w:sz w:val="24"/>
          <w:szCs w:val="24"/>
          <w:highlight w:val="none"/>
          <w:shd w:val="clear" w:color="auto" w:fill="FFFFFF"/>
        </w:rPr>
        <w:t>低于AAA的机构发行的金融工具的比例合计不得超过理财计划资产净值的10%，其中单一机构发行的金融工具的比例合计不得超过理财计划资产净值的2%；本款所称金融工具包括债券、银行存款、同业存单、相关机构作为原始权益人的资产支持证券及国家金融监督管理总局认可的其他金融工具。</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本理财计划投资于有固定期限银行存款的比例合计不得超过理财计划资产净值的30%，投资于有存款期限，根据协议可提前支取的银行存款除外；本理财计划投资于主体信用评级为AAA的同一商业银行的银行存款、同业存单占理财计划资产净值的比例合计不得超过20%。</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管理人全部现金管理类产品投资于同一商业银行的存款、同业存单和债券，不得超过该商业银行最近一个季度末净资产的10%。</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监督管理机构另有规定的除外。</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对于非因管理人主观因素导致突破前述第（1）至（2）项比例限制的，管理人应当在流动性受限资产可出售、可转让或者恢复交易的10个交易日内调整至符合要求，监督管理机构规定的特殊情形除外。</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 xml:space="preserve">    对于非因管理人主观因素导致突破前述第（3）至（6）项比例限制的，管理人应当在10个交易日内调整至符合要求，监督管理机构规定的特殊情形除外。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投资期限限制</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本理财计划投资组合的平均剩余期限不得超过120天，平均剩余存续期限不得超过240天。</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当前10名</w:t>
      </w:r>
      <w:r>
        <w:rPr>
          <w:rFonts w:hint="eastAsia" w:ascii="宋体" w:hAnsi="宋体" w:cs="宋体"/>
          <w:color w:val="333333"/>
          <w:sz w:val="24"/>
          <w:szCs w:val="24"/>
          <w:highlight w:val="none"/>
          <w:shd w:val="clear" w:color="auto" w:fill="FFFFFF"/>
        </w:rPr>
        <w:t>投资者的持有份额合计超过理财计划总份额的50%时，投资组合的平均剩余期限不得超过60天，平均剩余存续期限不得超过120天，投资组合中现金、国债、中央银行票据、政策性金融债券以及5个交易日内到期的其他金融工具占理财计划资产净值的比例合计不得低于30%。</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当</w:t>
      </w:r>
      <w:r>
        <w:rPr>
          <w:rFonts w:hint="eastAsia" w:ascii="宋体" w:hAnsi="宋体" w:cs="宋体"/>
          <w:bCs/>
          <w:sz w:val="24"/>
          <w:szCs w:val="24"/>
          <w:highlight w:val="none"/>
        </w:rPr>
        <w:t>前10名</w:t>
      </w:r>
      <w:r>
        <w:rPr>
          <w:rFonts w:hint="eastAsia" w:ascii="宋体" w:hAnsi="宋体" w:cs="宋体"/>
          <w:color w:val="333333"/>
          <w:sz w:val="24"/>
          <w:szCs w:val="24"/>
          <w:highlight w:val="none"/>
          <w:shd w:val="clear" w:color="auto" w:fill="FFFFFF"/>
        </w:rPr>
        <w:t>投资者的持有份额合计超过理财计划总份额的20%时，投资组合的平均剩余期限不得超过90天，平均剩余存续期限不得超过180天，投资组合中现金、国债、中央银行票据、政策性金融债券以及5个交易日内到期的其他金融工具占理财计划资产净值的比例合计不得低于20%。</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对于非因管理人主观因素导致突破前述第（2）至（3）项比例限制的，管理人应当在10个交易日内调整至符合要求，监督管理机构规定的特殊情形除外。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投资杠杆率限制</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的总资产不得超过净资产的120%，发生巨额赎回、连续3个交易日累计赎回20%以上或者连续5个交易日累计赎回30%以上的情形除外。对于非因管理人主观因素导致突破前述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流动性限制</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本理财计划直接投资于流动性受限资产的市值在开放日不得超过该理财计划资产净值的15%。</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本理财计划应持有不低于该理财计划资产净值的5%的现金、国债、中央银行票据、政策性金融债券。</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本理财计划应持有不低于该理财计划资产净值的10%的现金、国债、中央银行票据、政策性金融债券以及5个交易日内到期的其他金融工具。</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本理财计划投资到期日在中央银行票据、政策性金融债券</w:t>
      </w:r>
      <w:r>
        <w:rPr>
          <w:rFonts w:hint="eastAsia" w:ascii="宋体" w:hAnsi="宋体" w:cs="宋体"/>
          <w:color w:val="333333"/>
          <w:sz w:val="24"/>
          <w:szCs w:val="24"/>
          <w:highlight w:val="none"/>
          <w:shd w:val="clear" w:color="auto" w:fill="FFFFFF"/>
        </w:rPr>
        <w:t>（含协议约定有条件提前支取的银行存款），以及资产支持证券、因发行人债务违约无法进行转让或者交易的债券等由于法律法规、合同或者操作障碍等原因无法以合理价格予以变现的流动性受限资产，合计不得超过理财计划资产净值的10%。</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在开放日前一工作日内，本理财计划7个工作日可变现资产的可变现价值应当不低于该理财计划资产净值的10%。</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本理财计划投资不存在活跃交易市场，并且需要采用估值技术确定公允价值的资产比例不得超过理财产品净资产50%以上。</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对于非因管理人主观因素导致突破前述第（3）项比例限制的，管理人应当在流动性受限资产可出售、可转让或者恢复交易的10个交易日内调整至符合要求，监督管理机构规定的特殊情形除外。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其他投资限制</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szCs w:val="24"/>
          <w:highlight w:val="none"/>
        </w:rPr>
        <w:fldChar w:fldCharType="begin"/>
      </w:r>
      <w:r>
        <w:rPr>
          <w:rFonts w:ascii="宋体" w:hAnsi="宋体" w:cs="宋体"/>
          <w:bCs/>
          <w:sz w:val="24"/>
          <w:szCs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szCs w:val="24"/>
          <w:highlight w:val="none"/>
        </w:rPr>
        <w:fldChar w:fldCharType="separate"/>
      </w:r>
      <w:r>
        <w:rPr>
          <w:rFonts w:ascii="宋体" w:hAnsi="宋体" w:cs="宋体"/>
          <w:bCs/>
          <w:sz w:val="24"/>
          <w:szCs w:val="24"/>
          <w:highlight w:val="none"/>
        </w:rPr>
        <w:t>资产支持证券</w:t>
      </w:r>
      <w:r>
        <w:rPr>
          <w:rFonts w:ascii="宋体" w:hAnsi="宋体" w:cs="宋体"/>
          <w:bCs/>
          <w:sz w:val="24"/>
          <w:szCs w:val="24"/>
          <w:highlight w:val="none"/>
        </w:rPr>
        <w:fldChar w:fldCharType="end"/>
      </w:r>
      <w:r>
        <w:rPr>
          <w:rFonts w:hint="eastAsia" w:ascii="宋体" w:hAnsi="宋体" w:cs="宋体"/>
          <w:bCs/>
          <w:sz w:val="24"/>
          <w:szCs w:val="24"/>
          <w:highlight w:val="none"/>
        </w:rPr>
        <w:t>，不得直接或间接投资于未上市公司股权及其受（收）益权。</w:t>
      </w:r>
    </w:p>
    <w:p>
      <w:pPr>
        <w:numPr>
          <w:ilvl w:val="0"/>
          <w:numId w:val="1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拟投资市场、资产的流动性风险评估</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本理财计划拟投资市场可能面临的流动性风险如下：</w:t>
      </w:r>
    </w:p>
    <w:p>
      <w:pPr>
        <w:numPr>
          <w:ilvl w:val="0"/>
          <w:numId w:val="0"/>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以上风险仅为列举性质，未能详尽列明拟投资市场和资产面临的全部流动性风险</w:t>
      </w:r>
      <w:r>
        <w:rPr>
          <w:rFonts w:ascii="宋体" w:hAnsi="宋体" w:cs="宋体"/>
          <w:bCs/>
          <w:sz w:val="24"/>
          <w:szCs w:val="24"/>
          <w:highlight w:val="none"/>
        </w:rPr>
        <w:t>可能导致投资者投资本金及收益损失</w:t>
      </w:r>
      <w:r>
        <w:rPr>
          <w:rFonts w:hint="eastAsia" w:ascii="宋体" w:hAnsi="宋体" w:cs="宋体"/>
          <w:bCs/>
          <w:sz w:val="24"/>
          <w:szCs w:val="24"/>
          <w:highlight w:val="none"/>
        </w:rPr>
        <w:t>或延期兑付</w:t>
      </w:r>
      <w:r>
        <w:rPr>
          <w:rFonts w:ascii="宋体" w:hAnsi="宋体" w:cs="宋体"/>
          <w:bCs/>
          <w:sz w:val="24"/>
          <w:szCs w:val="24"/>
          <w:highlight w:val="none"/>
        </w:rPr>
        <w:t>的所有因素</w:t>
      </w:r>
      <w:r>
        <w:rPr>
          <w:rFonts w:hint="eastAsia" w:ascii="宋体" w:hAnsi="宋体" w:cs="宋体"/>
          <w:bCs/>
          <w:sz w:val="24"/>
          <w:szCs w:val="24"/>
          <w:highlight w:val="none"/>
        </w:rPr>
        <w:t>。管理人会进行标的的分散化投资并结合对各类标的资产的预期流动性合理进行资产配置，最大程度防范流动性风险。</w:t>
      </w:r>
    </w:p>
    <w:p>
      <w:pPr>
        <w:spacing w:line="360" w:lineRule="auto"/>
        <w:ind w:firstLine="420" w:firstLineChars="200"/>
        <w:jc w:val="left"/>
        <w:rPr>
          <w:rFonts w:hint="eastAsia" w:ascii="宋体" w:hAnsi="宋体" w:cs="宋体"/>
          <w:bCs/>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合作机构及主要职责</w:t>
      </w:r>
    </w:p>
    <w:p>
      <w:pPr>
        <w:numPr>
          <w:ilvl w:val="0"/>
          <w:numId w:val="2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托管人</w:t>
      </w:r>
    </w:p>
    <w:tbl>
      <w:tblPr>
        <w:tblStyle w:val="11"/>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0"/>
        </w:numPr>
        <w:spacing w:line="360" w:lineRule="auto"/>
        <w:ind w:firstLine="422" w:firstLineChars="200"/>
        <w:jc w:val="left"/>
        <w:outlineLvl w:val="9"/>
        <w:rPr>
          <w:rFonts w:hint="eastAsia" w:ascii="宋体" w:hAnsi="宋体" w:cs="宋体"/>
          <w:b/>
          <w:highlight w:val="none"/>
        </w:rPr>
      </w:pPr>
      <w:r>
        <w:rPr>
          <w:rFonts w:hint="eastAsia" w:ascii="宋体" w:hAnsi="宋体" w:cs="宋体"/>
          <w:b/>
          <w:highlight w:val="none"/>
        </w:rPr>
        <w:t>销售机构</w:t>
      </w:r>
    </w:p>
    <w:tbl>
      <w:tblPr>
        <w:tblStyle w:val="11"/>
        <w:tblW w:w="7600" w:type="dxa"/>
        <w:tblInd w:w="3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0"/>
        <w:gridCol w:w="1600"/>
        <w:gridCol w:w="1200"/>
        <w:gridCol w:w="38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销售机构信息</w:t>
            </w: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杭州银行股份有限公司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浙江省杭州市上城区解放东路168号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95398</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杭银理财有限责任公司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浙江省杭州市拱墅区庆春路38号金龙财富中心6层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400-8950-999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交通银行股份有限公司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中国(上海)自由贸易试验区银城中路188号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021-58781234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吉林银行股份有限公司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经济开发区东南湖大路1817号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0431-84999543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唐山银行股份有限公司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河北省唐山市路南区建设南路19号唐山新世界中心写字楼5层、21层、22层、23层、24层、26层、27层、28层、29层、30层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0315-2826443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招商银行股份有限公司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深圳市福田区深南大道7088号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95555</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江苏紫金农村商业银行股份有限公司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南京市建邺区江东中路381号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025-88866792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江苏银行股份有限公司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江苏南京市中华路26号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025-83508241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浙江萧山农村商业银行股份有限公司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杭州市萧山区城厢街道人民路258号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4008896596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深圳前海微众银行股份有限公司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深圳市南山区沙河西路1819号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95384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restart"/>
            <w:vAlign w:val="center"/>
          </w:tcPr>
          <w:p>
            <w:pPr>
              <w:keepNext w:val="0"/>
              <w:keepLines w:val="0"/>
              <w:suppressLineNumbers w:val="0"/>
              <w:spacing w:before="0" w:beforeAutospacing="0" w:after="0" w:afterAutospacing="0"/>
              <w:ind w:left="0" w:right="0"/>
              <w:jc w:val="center"/>
              <w:rPr>
                <w:rFonts w:hint="default"/>
              </w:rPr>
            </w:pPr>
            <w:r>
              <w:rPr>
                <w:rFonts w:hint="default"/>
              </w:rPr>
              <w:t>青海银行股份有限公司</w:t>
            </w: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住所</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青海省西宁市城西区西关大街130号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600" w:type="dxa"/>
            <w:vMerge w:val="continue"/>
            <w:vAlign w:val="center"/>
          </w:tcPr>
          <w:p>
            <w:pPr>
              <w:keepNext w:val="0"/>
              <w:keepLines w:val="0"/>
              <w:suppressLineNumbers w:val="0"/>
              <w:spacing w:before="0" w:beforeAutospacing="0" w:after="0" w:afterAutospacing="0"/>
              <w:ind w:left="0" w:right="0"/>
              <w:jc w:val="center"/>
              <w:rPr>
                <w:rFonts w:hint="default"/>
              </w:rPr>
            </w:pPr>
          </w:p>
        </w:tc>
        <w:tc>
          <w:tcPr>
            <w:tcW w:w="1200" w:type="dxa"/>
            <w:vAlign w:val="center"/>
          </w:tcPr>
          <w:p>
            <w:pPr>
              <w:keepNext w:val="0"/>
              <w:keepLines w:val="0"/>
              <w:suppressLineNumbers w:val="0"/>
              <w:spacing w:before="0" w:beforeAutospacing="0" w:after="0" w:afterAutospacing="0"/>
              <w:ind w:left="0" w:right="0"/>
              <w:jc w:val="left"/>
              <w:rPr>
                <w:rFonts w:hint="default"/>
              </w:rPr>
            </w:pPr>
            <w:r>
              <w:rPr>
                <w:rFonts w:hint="default"/>
              </w:rPr>
              <w:t>客服热线</w:t>
            </w:r>
          </w:p>
        </w:tc>
        <w:tc>
          <w:tcPr>
            <w:tcW w:w="3800" w:type="dxa"/>
            <w:vAlign w:val="center"/>
          </w:tcPr>
          <w:p>
            <w:pPr>
              <w:keepNext w:val="0"/>
              <w:keepLines w:val="0"/>
              <w:suppressLineNumbers w:val="0"/>
              <w:spacing w:before="0" w:beforeAutospacing="0" w:after="0" w:afterAutospacing="0"/>
              <w:ind w:left="0" w:right="0"/>
              <w:jc w:val="center"/>
              <w:rPr>
                <w:rFonts w:hint="default"/>
              </w:rPr>
            </w:pPr>
            <w:r>
              <w:rPr>
                <w:rFonts w:hint="default"/>
              </w:rPr>
              <w:t>96399</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00" w:type="dxa"/>
            <w:vAlign w:val="center"/>
          </w:tcPr>
          <w:p>
            <w:pPr>
              <w:keepNext w:val="0"/>
              <w:keepLines w:val="0"/>
              <w:suppressLineNumbers w:val="0"/>
              <w:spacing w:before="0" w:beforeAutospacing="0" w:after="0" w:afterAutospacing="0"/>
              <w:ind w:left="0" w:right="0"/>
              <w:jc w:val="center"/>
              <w:rPr>
                <w:rFonts w:hint="default"/>
              </w:rPr>
            </w:pPr>
            <w:r>
              <w:rPr>
                <w:rFonts w:hint="default"/>
              </w:rPr>
              <w:t>销售机构职责</w:t>
            </w:r>
          </w:p>
        </w:tc>
        <w:tc>
          <w:tcPr>
            <w:tcW w:w="6600" w:type="dxa"/>
            <w:gridSpan w:val="3"/>
            <w:vAlign w:val="center"/>
          </w:tcPr>
          <w:p>
            <w:pPr>
              <w:keepNext w:val="0"/>
              <w:keepLines w:val="0"/>
              <w:suppressLineNumbers w:val="0"/>
              <w:spacing w:before="0" w:beforeAutospacing="0" w:after="0" w:afterAutospacing="0"/>
              <w:ind w:left="0" w:right="0"/>
              <w:jc w:val="left"/>
              <w:rPr>
                <w:rFonts w:hint="default"/>
              </w:rPr>
            </w:pPr>
            <w:r>
              <w:rPr>
                <w:rFonts w:hint="default"/>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本理财计划后续如新增/减少销售机构或销售机构信息变更，请以管理人最新公告或官方网站展示为准。</w:t>
      </w:r>
    </w:p>
    <w:p>
      <w:pPr>
        <w:spacing w:line="360" w:lineRule="auto"/>
        <w:jc w:val="left"/>
        <w:rPr>
          <w:rFonts w:ascii="宋体" w:hAnsi="宋体" w:cs="宋体"/>
          <w:bCs/>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估值日</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本理财计划估值日为每个工作日，定期由理财管理人和理财托管人核对估值结果并向投资者披露，具体日期以管理人公告为准。</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估值对象</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本理财计划所投资的所有资产及负债。</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估值目的</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客观、准确反映理财计划的价值。</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估值方法</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szCs w:val="24"/>
          <w:highlight w:val="none"/>
        </w:rPr>
      </w:pPr>
      <w:r>
        <w:rPr>
          <w:rFonts w:hint="eastAsia"/>
          <w:sz w:val="24"/>
          <w:szCs w:val="24"/>
          <w:highlight w:val="none"/>
        </w:rPr>
        <w:t>理财计划所投资各类资产按照会计准则和监管要求进行会计分类，并按如下规则进行计量：</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货币市场工具类资产</w:t>
      </w:r>
    </w:p>
    <w:p>
      <w:pPr>
        <w:pStyle w:val="20"/>
        <w:adjustRightInd/>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银行存款及回购，以本金列示，按商定利率在实际持有期间内逐日计提利息。</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债券及同业存单类资产</w:t>
      </w:r>
    </w:p>
    <w:p>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债券及同业存单类资产，按摊余成本法进行计量。</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基金、资产管理计划类资产</w:t>
      </w:r>
    </w:p>
    <w:p>
      <w:pPr>
        <w:spacing w:line="360" w:lineRule="auto"/>
        <w:ind w:firstLine="480" w:firstLineChars="200"/>
        <w:rPr>
          <w:rFonts w:hint="eastAsia" w:ascii="宋体" w:hAnsi="宋体"/>
          <w:sz w:val="24"/>
          <w:szCs w:val="24"/>
          <w:highlight w:val="none"/>
        </w:rPr>
      </w:pPr>
      <w:r>
        <w:rPr>
          <w:rFonts w:hint="eastAsia" w:ascii="宋体" w:hAnsi="宋体" w:cs="宋体"/>
          <w:bCs/>
          <w:color w:val="000000"/>
          <w:sz w:val="24"/>
          <w:szCs w:val="24"/>
          <w:highlight w:val="none"/>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其他资产的估值方法</w:t>
      </w:r>
    </w:p>
    <w:p>
      <w:pPr>
        <w:pStyle w:val="20"/>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其他资产存在公允价值的，按照监管要求进行公允价值估值，公允价值不能确定的按国家最新规定进行估值。</w:t>
      </w:r>
    </w:p>
    <w:p>
      <w:pPr>
        <w:pStyle w:val="20"/>
        <w:tabs>
          <w:tab w:val="left" w:pos="0"/>
        </w:tabs>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20"/>
        <w:tabs>
          <w:tab w:val="left" w:pos="0"/>
        </w:tabs>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偏离度管理</w:t>
      </w:r>
    </w:p>
    <w:p>
      <w:p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本理财计划为现金管理类产品，在确保理财计划资产净值能够公允地反映投 资组合价值的前提下，可采用摊余成本法对持有的投资组合进行会计核算。由于 按摊余成本法估值可能会出现估值对象的公允价值和摊余成本价偏离，为消除或 减少理财计划因资产净值背离导致投资者权益稀释或其他不公平的结果，在实际 操作中，管理人可以对理财计划资产净值按公允价值法定期进行重新评估，即“影子定价”。</w:t>
      </w:r>
    </w:p>
    <w:p>
      <w:pPr>
        <w:spacing w:line="480" w:lineRule="auto"/>
        <w:ind w:firstLine="480" w:firstLineChars="200"/>
        <w:jc w:val="left"/>
        <w:outlineLvl w:val="9"/>
        <w:rPr>
          <w:rFonts w:hint="eastAsia" w:ascii="宋体" w:hAnsi="宋体" w:cs="宋体"/>
          <w:bCs/>
          <w:color w:val="000000"/>
          <w:sz w:val="24"/>
          <w:szCs w:val="24"/>
          <w:highlight w:val="none"/>
        </w:rPr>
      </w:pPr>
      <w:r>
        <w:rPr>
          <w:rFonts w:ascii="宋体" w:hAnsi="宋体" w:cs="宋体"/>
          <w:color w:val="000000"/>
          <w:sz w:val="24"/>
          <w:szCs w:val="24"/>
          <w:highlight w:val="none"/>
        </w:rPr>
        <w:t>影子定价与摊余成本法确定的</w:t>
      </w:r>
      <w:r>
        <w:rPr>
          <w:rFonts w:hint="eastAsia" w:ascii="宋体" w:hAnsi="宋体" w:cs="宋体"/>
          <w:color w:val="000000"/>
          <w:sz w:val="24"/>
          <w:szCs w:val="24"/>
          <w:highlight w:val="none"/>
        </w:rPr>
        <w:t>理财计划</w:t>
      </w:r>
      <w:r>
        <w:rPr>
          <w:rFonts w:ascii="宋体" w:hAnsi="宋体" w:cs="宋体"/>
          <w:color w:val="000000"/>
          <w:sz w:val="24"/>
          <w:szCs w:val="24"/>
          <w:highlight w:val="none"/>
        </w:rPr>
        <w:t>资产净值的偏离度＝</w:t>
      </w:r>
      <w:r>
        <w:rPr>
          <w:rFonts w:ascii="宋体" w:hAnsi="宋体" w:cs="宋体"/>
          <w:position w:val="-19"/>
          <w:sz w:val="24"/>
          <w:szCs w:val="24"/>
          <w:highlight w:val="none"/>
        </w:rPr>
        <w:drawing>
          <wp:inline distT="0" distB="0" distL="114300" distR="114300">
            <wp:extent cx="876300" cy="318770"/>
            <wp:effectExtent l="0" t="0" r="0" b="5080"/>
            <wp:docPr id="9" name="IM 82"/>
            <wp:cNvGraphicFramePr/>
            <a:graphic xmlns:a="http://schemas.openxmlformats.org/drawingml/2006/main">
              <a:graphicData uri="http://schemas.openxmlformats.org/drawingml/2006/picture">
                <pic:pic xmlns:pic="http://schemas.openxmlformats.org/drawingml/2006/picture">
                  <pic:nvPicPr>
                    <pic:cNvPr id="9" name="IM 82"/>
                    <pic:cNvPicPr/>
                  </pic:nvPicPr>
                  <pic:blipFill>
                    <a:blip r:embed="rId6"/>
                    <a:stretch>
                      <a:fillRect/>
                    </a:stretch>
                  </pic:blipFill>
                  <pic:spPr>
                    <a:xfrm>
                      <a:off x="0" y="0"/>
                      <a:ext cx="876300" cy="318770"/>
                    </a:xfrm>
                    <a:prstGeom prst="rect">
                      <a:avLst/>
                    </a:prstGeom>
                    <a:noFill/>
                    <a:ln>
                      <a:noFill/>
                    </a:ln>
                  </pic:spPr>
                </pic:pic>
              </a:graphicData>
            </a:graphic>
          </wp:inline>
        </w:drawing>
      </w:r>
      <w:r>
        <w:rPr>
          <w:rFonts w:ascii="宋体" w:hAnsi="宋体" w:cs="宋体"/>
          <w:color w:val="000000"/>
          <w:sz w:val="24"/>
          <w:szCs w:val="24"/>
          <w:highlight w:val="none"/>
        </w:rPr>
        <w:t>，其中，</w:t>
      </w:r>
      <w:r>
        <w:rPr>
          <w:rFonts w:ascii="Times New Roman" w:hAnsi="Times New Roman" w:eastAsia="Times New Roman" w:cs="Times New Roman"/>
          <w:i/>
          <w:iCs/>
          <w:sz w:val="24"/>
          <w:szCs w:val="24"/>
          <w:highlight w:val="none"/>
        </w:rPr>
        <w:t>NAV</w:t>
      </w:r>
      <w:r>
        <w:rPr>
          <w:rFonts w:ascii="Times New Roman" w:hAnsi="Times New Roman" w:eastAsia="Times New Roman" w:cs="Times New Roman"/>
          <w:i/>
          <w:iCs/>
          <w:position w:val="-6"/>
          <w:sz w:val="24"/>
          <w:szCs w:val="24"/>
          <w:highlight w:val="none"/>
        </w:rPr>
        <w:t>S</w:t>
      </w:r>
      <w:r>
        <w:rPr>
          <w:rFonts w:ascii="宋体" w:hAnsi="宋体" w:cs="宋体"/>
          <w:color w:val="000000"/>
          <w:sz w:val="24"/>
          <w:szCs w:val="24"/>
          <w:highlight w:val="none"/>
        </w:rPr>
        <w:t>为影子定价确定的资产净值，</w:t>
      </w:r>
      <w:r>
        <w:rPr>
          <w:rFonts w:ascii="Times New Roman" w:hAnsi="Times New Roman" w:eastAsia="Times New Roman" w:cs="Times New Roman"/>
          <w:i/>
          <w:iCs/>
          <w:sz w:val="24"/>
          <w:szCs w:val="24"/>
          <w:highlight w:val="none"/>
        </w:rPr>
        <w:t>NAV</w:t>
      </w:r>
      <w:r>
        <w:rPr>
          <w:rFonts w:ascii="Times New Roman" w:hAnsi="Times New Roman" w:eastAsia="Times New Roman" w:cs="Times New Roman"/>
          <w:i/>
          <w:iCs/>
          <w:position w:val="-5"/>
          <w:sz w:val="24"/>
          <w:szCs w:val="24"/>
          <w:highlight w:val="none"/>
        </w:rPr>
        <w:t>a</w:t>
      </w:r>
      <w:r>
        <w:rPr>
          <w:rFonts w:ascii="宋体" w:hAnsi="宋体" w:cs="宋体"/>
          <w:color w:val="000000"/>
          <w:sz w:val="24"/>
          <w:szCs w:val="24"/>
          <w:highlight w:val="none"/>
        </w:rPr>
        <w:t>为摊余成本法确定的资产净值。</w:t>
      </w:r>
    </w:p>
    <w:p>
      <w:p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当影子定价出现偏离，管理人可根据风险控制的需要做出如下调整：</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当正偏离度绝度值达到0.5%时，管理人将暂停接受认购并在5个交易日内将正偏离绝对值调整到0.5%以内。</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当负偏离度绝对值达到0.25%时，管理人将在5个交易日内将负偏离绝对值调整到0.25%以内。</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当负偏离度绝对值达到0.5%时，管理人将采取相应措施将负偏离绝对值控制在0.5%以内。</w:t>
      </w:r>
    </w:p>
    <w:p>
      <w:pPr>
        <w:numPr>
          <w:ilvl w:val="0"/>
          <w:numId w:val="33"/>
        </w:numPr>
        <w:spacing w:line="360" w:lineRule="auto"/>
        <w:ind w:firstLine="480" w:firstLineChars="200"/>
        <w:jc w:val="left"/>
        <w:outlineLvl w:val="9"/>
        <w:rPr>
          <w:rFonts w:ascii="宋体" w:hAnsi="宋体" w:cs="宋体"/>
          <w:bCs/>
          <w:color w:val="000000"/>
          <w:sz w:val="24"/>
          <w:szCs w:val="24"/>
          <w:highlight w:val="none"/>
        </w:rPr>
      </w:pPr>
      <w:r>
        <w:rPr>
          <w:rFonts w:hint="eastAsia" w:ascii="宋体" w:hAnsi="宋体" w:cs="宋体"/>
          <w:bCs/>
          <w:color w:val="000000"/>
          <w:sz w:val="24"/>
          <w:szCs w:val="24"/>
          <w:highlight w:val="none"/>
        </w:rPr>
        <w:t>当负偏离度绝对值连续两个交易日超过0.5%时，管理人将采用公允价值估值方法对持有投资组合的账面价值进行调整，或者采取暂停接受所有赎回申请并终止理财计划进行财产清算等措施。</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估值差错处理</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暂停估值情形</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理财计划投资所涉及的交易市场遇法定节假日或因其他原因暂停营业时暂停估值，该种情况理财计划估值日期提前到上一交易日。</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因不可抗力或其他情形致使理财计划管理人、理财计划托管人无法准确评估资产价值时。</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前一估值日理财计划资产净值50%以上的资产不具备活跃交易市场或者在活跃市场中无报价，且不能采用估值技术可靠计量公允价值时，管理人应当暂停该理财计划估值，并按照监管规定采取延缓支付赎回款项或暂停接受理财计划认购、赎回申请等措施。</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理财计划管理人、托管人有合理理由认为将影响本理财计划估值的其他情形发生。</w:t>
      </w:r>
    </w:p>
    <w:p>
      <w:pPr>
        <w:numPr>
          <w:ilvl w:val="0"/>
          <w:numId w:val="3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资产账册的建立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20" w:firstLineChars="200"/>
        <w:jc w:val="left"/>
        <w:rPr>
          <w:rFonts w:hint="eastAsia" w:ascii="宋体" w:hAnsi="宋体" w:cs="宋体"/>
          <w:bCs/>
          <w:color w:val="000000"/>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费用及税收</w:t>
      </w:r>
    </w:p>
    <w:p>
      <w:pPr>
        <w:numPr>
          <w:ilvl w:val="0"/>
          <w:numId w:val="35"/>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费用种类</w:t>
      </w:r>
    </w:p>
    <w:p>
      <w:pPr>
        <w:spacing w:line="360" w:lineRule="auto"/>
        <w:ind w:firstLine="480" w:firstLineChars="200"/>
        <w:jc w:val="left"/>
        <w:rPr>
          <w:rFonts w:ascii="宋体" w:hAnsi="宋体" w:cs="宋体"/>
          <w:b/>
          <w:sz w:val="24"/>
          <w:szCs w:val="24"/>
          <w:highlight w:val="none"/>
        </w:rPr>
      </w:pPr>
      <w:r>
        <w:rPr>
          <w:rFonts w:hint="eastAsia" w:ascii="宋体" w:hAnsi="宋体" w:cs="宋体"/>
          <w:bCs/>
          <w:color w:val="000000"/>
          <w:sz w:val="24"/>
          <w:szCs w:val="24"/>
          <w:highlight w:val="none"/>
        </w:rPr>
        <w:t>本理财计划涉及费用包括销售服务费、托管费、固定管理费、认购费、申购费、赎回费、浮动管理费以及理财计划运作和清算中产生的其他费用等。</w:t>
      </w:r>
    </w:p>
    <w:p>
      <w:pPr>
        <w:numPr>
          <w:ilvl w:val="0"/>
          <w:numId w:val="35"/>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费用计提方法、标准及支付方式</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理财计划财产的年化销售服务费率为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销售服务费原则上按日计提。</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理财计划财产的年化托管费为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托管费原则上按日计提。</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理财计划财产的年化固定管理费率为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固定管理费原则上按日计提，</w:t>
      </w:r>
      <w:r>
        <w:rPr>
          <w:rFonts w:hint="eastAsia" w:ascii="宋体" w:hAnsi="宋体" w:cs="宋体"/>
          <w:bCs/>
          <w:color w:val="000000"/>
          <w:sz w:val="24"/>
          <w:szCs w:val="24"/>
          <w:highlight w:val="none"/>
          <w:lang w:eastAsia="zh-CN"/>
        </w:rPr>
        <w:t>管理人有权</w:t>
      </w:r>
      <w:r>
        <w:rPr>
          <w:rFonts w:hint="eastAsia" w:ascii="宋体" w:hAnsi="宋体" w:cs="宋体"/>
          <w:bCs/>
          <w:color w:val="000000"/>
          <w:sz w:val="24"/>
          <w:szCs w:val="24"/>
          <w:highlight w:val="none"/>
          <w:lang w:val="en-US" w:eastAsia="zh-CN"/>
        </w:rPr>
        <w:t>根据实际运作情况</w:t>
      </w:r>
      <w:r>
        <w:rPr>
          <w:rFonts w:hint="eastAsia" w:ascii="宋体" w:hAnsi="宋体" w:cs="宋体"/>
          <w:bCs/>
          <w:color w:val="000000"/>
          <w:sz w:val="24"/>
          <w:szCs w:val="24"/>
          <w:highlight w:val="none"/>
          <w:lang w:eastAsia="zh-CN"/>
        </w:rPr>
        <w:t>减免固定管理费</w:t>
      </w:r>
      <w:r>
        <w:rPr>
          <w:rFonts w:hint="eastAsia" w:ascii="宋体" w:hAnsi="宋体" w:cs="宋体"/>
          <w:bCs/>
          <w:color w:val="000000"/>
          <w:sz w:val="24"/>
          <w:szCs w:val="24"/>
          <w:highlight w:val="none"/>
          <w:lang w:eastAsia="zh"/>
        </w:rPr>
        <w:t>。</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认购费</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本理财计划免除认购费。</w:t>
      </w:r>
    </w:p>
    <w:p>
      <w:pPr>
        <w:numPr>
          <w:ilvl w:val="0"/>
          <w:numId w:val="3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申购费</w:t>
      </w:r>
    </w:p>
    <w:p>
      <w:pPr>
        <w:spacing w:line="360" w:lineRule="auto"/>
        <w:ind w:firstLine="480" w:firstLineChars="200"/>
        <w:jc w:val="left"/>
        <w:rPr>
          <w:rFonts w:ascii="宋体" w:hAnsi="宋体" w:cs="宋体"/>
          <w:b/>
          <w:color w:val="FF0000"/>
          <w:sz w:val="24"/>
          <w:szCs w:val="24"/>
          <w:highlight w:val="none"/>
        </w:rPr>
      </w:pPr>
      <w:r>
        <w:rPr>
          <w:rFonts w:hint="eastAsia" w:ascii="宋体" w:hAnsi="宋体" w:cs="宋体"/>
          <w:bCs/>
          <w:color w:val="000000"/>
          <w:sz w:val="24"/>
          <w:szCs w:val="24"/>
          <w:highlight w:val="none"/>
        </w:rPr>
        <w:t>本理财计划免除申购费。</w:t>
      </w:r>
    </w:p>
    <w:p>
      <w:pPr>
        <w:numPr>
          <w:ilvl w:val="0"/>
          <w:numId w:val="3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赎回费</w:t>
      </w:r>
    </w:p>
    <w:p>
      <w:pPr>
        <w:spacing w:line="360" w:lineRule="auto"/>
        <w:ind w:firstLine="480" w:firstLineChars="200"/>
        <w:jc w:val="left"/>
        <w:rPr>
          <w:rFonts w:hint="eastAsia" w:ascii="宋体" w:hAnsi="宋体" w:cs="宋体"/>
          <w:b/>
          <w:color w:val="FF0000"/>
          <w:sz w:val="24"/>
          <w:szCs w:val="24"/>
          <w:highlight w:val="none"/>
        </w:rPr>
      </w:pPr>
      <w:r>
        <w:rPr>
          <w:rFonts w:hint="eastAsia" w:ascii="宋体" w:hAnsi="宋体" w:cs="宋体"/>
          <w:bCs/>
          <w:color w:val="000000"/>
          <w:sz w:val="24"/>
          <w:szCs w:val="24"/>
          <w:highlight w:val="none"/>
        </w:rPr>
        <w:t>本理财计划免除赎回费（不包含强制赎回费）。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浮动管理费</w:t>
      </w:r>
    </w:p>
    <w:p>
      <w:pPr>
        <w:spacing w:line="360" w:lineRule="auto"/>
        <w:ind w:firstLine="480" w:firstLineChars="200"/>
        <w:jc w:val="left"/>
        <w:rPr>
          <w:rFonts w:hint="eastAsia" w:ascii="宋体" w:hAnsi="宋体" w:cs="宋体"/>
          <w:b/>
          <w:color w:val="FF0000"/>
          <w:sz w:val="24"/>
          <w:szCs w:val="24"/>
          <w:highlight w:val="none"/>
        </w:rPr>
      </w:pPr>
      <w:r>
        <w:rPr>
          <w:rFonts w:hint="eastAsia" w:ascii="宋体" w:hAnsi="宋体" w:cs="宋体"/>
          <w:bCs/>
          <w:color w:val="000000"/>
          <w:sz w:val="24"/>
          <w:szCs w:val="24"/>
          <w:highlight w:val="none"/>
        </w:rPr>
        <w:t>本理财计划免除</w:t>
      </w:r>
      <w:r>
        <w:rPr>
          <w:rFonts w:hint="eastAsia" w:ascii="宋体" w:hAnsi="宋体" w:cs="宋体"/>
          <w:bCs/>
          <w:color w:val="000000"/>
          <w:sz w:val="24"/>
          <w:szCs w:val="24"/>
          <w:highlight w:val="none"/>
          <w:lang w:eastAsia="zh"/>
        </w:rPr>
        <w:t>浮动管理</w:t>
      </w:r>
      <w:r>
        <w:rPr>
          <w:rFonts w:hint="eastAsia" w:ascii="宋体" w:hAnsi="宋体" w:cs="宋体"/>
          <w:bCs/>
          <w:color w:val="000000"/>
          <w:sz w:val="24"/>
          <w:szCs w:val="24"/>
          <w:highlight w:val="none"/>
        </w:rPr>
        <w:t>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强制赎回费（如有）</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本理财计划符合以下条件，管理人有权收取强制赎回费：</w:t>
      </w:r>
    </w:p>
    <w:p>
      <w:pPr>
        <w:numPr>
          <w:ilvl w:val="0"/>
          <w:numId w:val="39"/>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理财计划持有的现金、国债、中央银行票据、政策性金融债券以及5个交易日内到期的其他金融工具占理财计划资产净值的比例合计低于5%且偏离度为负时，管理人有权对当日单个投资者申请赎回份额超过理财计划总份额1%以上的赎回申请收取1%的强制赎回费。</w:t>
      </w:r>
    </w:p>
    <w:p>
      <w:pPr>
        <w:numPr>
          <w:ilvl w:val="0"/>
          <w:numId w:val="39"/>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前10名投资者的持有份额合计超过理财计划总份额的50%时，当投资组合中现金、国债、中央银行票据、政策性金融债券以及5个交易日内到期的其他金融工具占理财计划资产净值的比例合计低于10%且偏离度为负时，管理人有权对投资者超过理财计划总份额1%以上的赎回申请收取1%的强制赎回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其他费用</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除上述费用外，由受托管理资产承担的费用包括但不限于：</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财产管理、运用或处分过程中发生的税费。</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代理机构手续费、管理费、财务顾问费、保管费。</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审计费、律师费、公证费等费用。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管理人自行或委托第三方向本理财计划所投资产所涉及相关主体进行追偿所发生的费用（包括但不限于诉讼费、仲裁费、律师费、保全费等全部费用）。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理财计划的交易费用（包括但不限于交易佣金、相关账户费用等）及投资其他资管产品的费用。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监管规定的其他费用。</w:t>
      </w:r>
    </w:p>
    <w:p>
      <w:pPr>
        <w:spacing w:line="360" w:lineRule="auto"/>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1"/>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税收说明</w:t>
      </w:r>
    </w:p>
    <w:p>
      <w:pPr>
        <w:numPr>
          <w:ilvl w:val="0"/>
          <w:numId w:val="42"/>
        </w:numPr>
        <w:spacing w:line="360" w:lineRule="auto"/>
        <w:ind w:firstLine="480" w:firstLineChars="200"/>
        <w:jc w:val="left"/>
        <w:rPr>
          <w:sz w:val="24"/>
          <w:szCs w:val="24"/>
          <w:highlight w:val="none"/>
        </w:rPr>
      </w:pPr>
      <w:r>
        <w:rPr>
          <w:rFonts w:hint="eastAsia" w:ascii="宋体" w:hAnsi="宋体" w:cs="宋体"/>
          <w:bCs/>
          <w:color w:val="000000"/>
          <w:sz w:val="24"/>
          <w:szCs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除法律法规特别要求外，投资者应缴纳的税收由投资者自行缴纳，理财计划管理人不承担代扣代缴或纳税的义务。</w:t>
      </w:r>
    </w:p>
    <w:p>
      <w:pPr>
        <w:numPr>
          <w:ilvl w:val="0"/>
          <w:numId w:val="42"/>
        </w:numPr>
        <w:spacing w:line="360" w:lineRule="auto"/>
        <w:ind w:firstLine="480" w:firstLineChars="200"/>
        <w:jc w:val="left"/>
        <w:rPr>
          <w:rFonts w:hint="eastAsia" w:ascii="宋体" w:hAnsi="宋体" w:cs="宋体"/>
          <w:b/>
          <w:sz w:val="24"/>
          <w:szCs w:val="24"/>
          <w:highlight w:val="none"/>
        </w:rPr>
      </w:pPr>
      <w:r>
        <w:rPr>
          <w:rFonts w:hint="eastAsia" w:ascii="宋体" w:hAnsi="宋体" w:cs="宋体"/>
          <w:bCs/>
          <w:color w:val="000000"/>
          <w:sz w:val="24"/>
          <w:szCs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收益计算</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理财收益说明</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投资者自认购/申购份额确认当日开始享有相应份额的收益分配权益；自赎回确认当日开始不再享有相应份额的收益分配权益。</w:t>
      </w:r>
    </w:p>
    <w:p>
      <w:pPr>
        <w:spacing w:line="360" w:lineRule="auto"/>
        <w:ind w:firstLine="480" w:firstLineChars="200"/>
        <w:jc w:val="left"/>
        <w:rPr>
          <w:rFonts w:ascii="宋体" w:hAnsi="宋体" w:cs="宋体"/>
          <w:bCs/>
          <w:color w:val="FF0000"/>
          <w:sz w:val="24"/>
          <w:szCs w:val="24"/>
          <w:highlight w:val="none"/>
        </w:rPr>
      </w:pPr>
      <w:r>
        <w:rPr>
          <w:rFonts w:hint="eastAsia" w:ascii="宋体" w:hAnsi="宋体" w:cs="宋体"/>
          <w:bCs/>
          <w:color w:val="000000"/>
          <w:sz w:val="24"/>
          <w:szCs w:val="24"/>
          <w:highlight w:val="none"/>
        </w:rPr>
        <w:t>理财计划存续期间，以当日每万份理财计划收益为基准，每日为投资者计算当日理财收益并进行分配，结转为理财计划份额。如投资者的当日收益为正，则为投资者增加相应的理财计划份额；如投资者的当日收益为零，则投资者份额不变；如投资者的当日收益为负，则为投资者核减相应的理财计划份额。投资者当日收益分配的计算保留到小数点后2位，小数点后第3位按去尾法处理，因去尾形成的余额进行再次分配，直到分完为止。</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计算公式</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投资者当日理财收益＝投资者当日持有份额</w:t>
      </w:r>
      <w:r>
        <w:rPr>
          <w:rFonts w:ascii="宋体" w:hAnsi="宋体" w:cs="宋体"/>
          <w:bCs/>
          <w:color w:val="000000"/>
          <w:sz w:val="24"/>
          <w:szCs w:val="24"/>
          <w:highlight w:val="none"/>
        </w:rPr>
        <w:t>×</w:t>
      </w:r>
      <w:r>
        <w:rPr>
          <w:rFonts w:hint="eastAsia" w:ascii="宋体" w:hAnsi="宋体" w:cs="宋体"/>
          <w:bCs/>
          <w:color w:val="000000"/>
          <w:sz w:val="24"/>
          <w:szCs w:val="24"/>
          <w:highlight w:val="none"/>
        </w:rPr>
        <w:t>每万份理财计划收益÷10000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投资者当日持有份额=投资者上一日持有份额+上一日结转份额＋投资者当日申购确认份额－投资者当日赎回确认份额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当日每万份理财计划收益=(当日资产组合投资收益-当日理财计划托管费-当日理财计划固定管理费-当日理财计划销售服务费-其他税费)÷当日理财计划份额</w:t>
      </w:r>
      <w:r>
        <w:rPr>
          <w:rFonts w:ascii="宋体" w:hAnsi="宋体" w:cs="宋体"/>
          <w:bCs/>
          <w:color w:val="000000"/>
          <w:sz w:val="24"/>
          <w:szCs w:val="24"/>
          <w:highlight w:val="none"/>
        </w:rPr>
        <w:t>×</w:t>
      </w:r>
      <w:r>
        <w:rPr>
          <w:rFonts w:hint="eastAsia" w:ascii="宋体" w:hAnsi="宋体" w:cs="宋体"/>
          <w:bCs/>
          <w:color w:val="000000"/>
          <w:sz w:val="24"/>
          <w:szCs w:val="24"/>
          <w:highlight w:val="none"/>
        </w:rPr>
        <w:t>10000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当日理财计划份额=上一日理财计划份额＋上一日理财计划结转份额＋当日申购确认理财计划份额－当日赎回确认理财计划份额</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按日结转份额的七日年化收益率=</w:t>
      </w:r>
      <w:r>
        <w:rPr>
          <w:color w:val="000000"/>
          <w:position w:val="-41"/>
          <w:sz w:val="24"/>
          <w:szCs w:val="24"/>
          <w:highlight w:val="none"/>
        </w:rPr>
        <w:drawing>
          <wp:inline distT="0" distB="0" distL="114300" distR="114300">
            <wp:extent cx="1651000" cy="634365"/>
            <wp:effectExtent l="0" t="0" r="6350" b="13335"/>
            <wp:docPr id="11" name="IM 92"/>
            <wp:cNvGraphicFramePr/>
            <a:graphic xmlns:a="http://schemas.openxmlformats.org/drawingml/2006/main">
              <a:graphicData uri="http://schemas.openxmlformats.org/drawingml/2006/picture">
                <pic:pic xmlns:pic="http://schemas.openxmlformats.org/drawingml/2006/picture">
                  <pic:nvPicPr>
                    <pic:cNvPr id="11" name="IM 92"/>
                    <pic:cNvPicPr/>
                  </pic:nvPicPr>
                  <pic:blipFill>
                    <a:blip r:embed="rId7"/>
                    <a:stretch>
                      <a:fillRect/>
                    </a:stretch>
                  </pic:blipFill>
                  <pic:spPr>
                    <a:xfrm>
                      <a:off x="0" y="0"/>
                      <a:ext cx="1651000" cy="634365"/>
                    </a:xfrm>
                    <a:prstGeom prst="rect">
                      <a:avLst/>
                    </a:prstGeom>
                    <a:noFill/>
                    <a:ln>
                      <a:noFill/>
                    </a:ln>
                  </pic:spPr>
                </pic:pic>
              </a:graphicData>
            </a:graphic>
          </wp:inline>
        </w:drawing>
      </w:r>
      <w:r>
        <w:rPr>
          <w:color w:val="000000"/>
          <w:spacing w:val="-5"/>
          <w:position w:val="3"/>
          <w:sz w:val="24"/>
          <w:szCs w:val="24"/>
          <w:highlight w:val="none"/>
        </w:rPr>
        <w:t>×</w:t>
      </w:r>
      <w:r>
        <w:rPr>
          <w:color w:val="000000"/>
          <w:spacing w:val="-39"/>
          <w:position w:val="3"/>
          <w:sz w:val="24"/>
          <w:szCs w:val="24"/>
          <w:highlight w:val="none"/>
        </w:rPr>
        <w:t xml:space="preserve"> </w:t>
      </w:r>
      <w:r>
        <w:rPr>
          <w:rFonts w:ascii="Times New Roman" w:hAnsi="Times New Roman" w:eastAsia="Times New Roman" w:cs="Times New Roman"/>
          <w:color w:val="000000"/>
          <w:spacing w:val="-5"/>
          <w:position w:val="3"/>
          <w:sz w:val="24"/>
          <w:szCs w:val="24"/>
          <w:highlight w:val="none"/>
        </w:rPr>
        <w:t>100%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Ri为最近第i个自然日的当日每万份理财计划收益。七日年化收益率采取四舍五入后精确到小数点后4位。</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投资者总收益＝自理财计划申购确认日（或成立日）当日（含当日）起至赎回确认日或理财计划到期日（提前终止日）（不含当日）止期间相应投资者理财收益总和</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其中，投资者当日持有份额以管理人理财系统完成当日清算后记录的份额为准；投资者当日理财收益计算结果按去尾法保留两位小数。</w:t>
      </w:r>
    </w:p>
    <w:p>
      <w:pPr>
        <w:numPr>
          <w:ilvl w:val="0"/>
          <w:numId w:val="43"/>
        </w:numPr>
        <w:spacing w:line="360" w:lineRule="auto"/>
        <w:jc w:val="left"/>
        <w:outlineLvl w:val="9"/>
        <w:rPr>
          <w:rFonts w:hint="eastAsia" w:ascii="宋体" w:hAnsi="宋体" w:cs="宋体"/>
          <w:bCs/>
          <w:color w:val="000000"/>
          <w:sz w:val="24"/>
          <w:szCs w:val="24"/>
          <w:highlight w:val="none"/>
        </w:rPr>
      </w:pPr>
      <w:r>
        <w:rPr>
          <w:rFonts w:hint="eastAsia" w:ascii="宋体" w:hAnsi="宋体" w:cs="宋体"/>
          <w:b/>
          <w:sz w:val="24"/>
          <w:szCs w:val="24"/>
          <w:highlight w:val="none"/>
        </w:rPr>
        <w:t>示例说明</w:t>
      </w:r>
    </w:p>
    <w:p>
      <w:pPr>
        <w:spacing w:line="360" w:lineRule="auto"/>
        <w:ind w:left="42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以下示例均为假设情况，不构成业绩预测，不代表本理财计划实际投资业绩。</w:t>
      </w:r>
    </w:p>
    <w:p>
      <w:pPr>
        <w:numPr>
          <w:ilvl w:val="0"/>
          <w:numId w:val="44"/>
        </w:numPr>
        <w:spacing w:line="360" w:lineRule="auto"/>
        <w:ind w:firstLine="482" w:firstLineChars="200"/>
        <w:jc w:val="left"/>
        <w:rPr>
          <w:rFonts w:hint="eastAsia" w:ascii="宋体" w:hAnsi="宋体" w:cs="宋体"/>
          <w:b/>
          <w:color w:val="000000"/>
          <w:sz w:val="24"/>
          <w:szCs w:val="24"/>
          <w:highlight w:val="none"/>
        </w:rPr>
      </w:pPr>
      <w:r>
        <w:rPr>
          <w:rFonts w:hint="eastAsia" w:ascii="宋体" w:hAnsi="宋体" w:cs="宋体"/>
          <w:b/>
          <w:color w:val="000000"/>
          <w:sz w:val="24"/>
          <w:szCs w:val="24"/>
          <w:highlight w:val="none"/>
        </w:rPr>
        <w:t>示例一</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以某投资者投资10万元为例，假设当日每万分理财计划收益为0.9590，则该投资者的当日理财计划收益为：</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100,000.00×0.9590÷10，000.00=9.59（元）</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投资者当日结转份额为：</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9.59÷1.0000=9.59（份）</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本金及理财收益支付</w:t>
      </w:r>
    </w:p>
    <w:p>
      <w:pPr>
        <w:numPr>
          <w:ilvl w:val="0"/>
          <w:numId w:val="45"/>
        </w:numPr>
        <w:spacing w:line="360" w:lineRule="auto"/>
        <w:ind w:left="420" w:leftChars="200"/>
        <w:jc w:val="left"/>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理财计划收益结转，提前终止的本金及收益支付</w:t>
      </w:r>
    </w:p>
    <w:p>
      <w:pPr>
        <w:numPr>
          <w:ilvl w:val="0"/>
          <w:numId w:val="46"/>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若投资者未赎回理财计划，管理人每日为投资者计算当日收益，并将该收益结转为理财计划份额。</w:t>
      </w:r>
    </w:p>
    <w:p>
      <w:pPr>
        <w:numPr>
          <w:ilvl w:val="0"/>
          <w:numId w:val="46"/>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若理财计划提前终止，管理人将投资者在提前终止日所持有的理财计划份额对应的本金与理财收益于提前终止日后的3个〖工作日〗内划转至投资者指定理财账户。</w:t>
      </w:r>
    </w:p>
    <w:p>
      <w:pPr>
        <w:numPr>
          <w:ilvl w:val="0"/>
          <w:numId w:val="45"/>
        </w:numPr>
        <w:spacing w:line="360" w:lineRule="auto"/>
        <w:ind w:left="420" w:leftChars="200"/>
        <w:jc w:val="left"/>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理财计划赎回时的本金及收益支付</w:t>
      </w:r>
    </w:p>
    <w:p>
      <w:pPr>
        <w:numPr>
          <w:ilvl w:val="0"/>
          <w:numId w:val="4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全部赎回时的本金及收益支付：投资者申请全部赎回理财计划时，理财计划份额对应的理财收益于赎回日当晚清算后正常结转为份额，管理人在赎回确认日当日将投资者持有的理财计划份额对应的资金划转至投资者指定理财账户。投资者赎回的理财份额于赎回确认当日不再享有对应的理财收益。</w:t>
      </w:r>
    </w:p>
    <w:p>
      <w:pPr>
        <w:numPr>
          <w:ilvl w:val="0"/>
          <w:numId w:val="4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部分赎回时的本金及收益支付：投资者申请部分赎回理财计划时，部分赎回的理财计划份额对应的理财收益于赎回日当晚清算后正常结转为份额，管理人在赎回确认日当日将投资者申请赎回的理财计划份额对应的资金划转至投资者指定理财账户。部分赎回后投资者持有本理财计划的实时余额不得低于0.01份。</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示例：a.假设投资者持有理财计划20万份，若投资者在理财计划某一开放日申请赎回10万份，则赎回确认日当日，管理人将10万元资金划转至投资者指定账户。该部分收益（申请赎回的10万份理财计划份额在赎回日产生的理财收益）在赎回日当晚清算后正常结转为份额继续留存。</w:t>
      </w:r>
    </w:p>
    <w:p>
      <w:pPr>
        <w:spacing w:line="360" w:lineRule="auto"/>
        <w:ind w:firstLine="480" w:firstLineChars="200"/>
        <w:jc w:val="left"/>
        <w:rPr>
          <w:rFonts w:ascii="宋体" w:hAnsi="宋体" w:cs="宋体"/>
          <w:b/>
          <w:color w:val="000000"/>
          <w:sz w:val="24"/>
          <w:szCs w:val="24"/>
          <w:highlight w:val="none"/>
        </w:rPr>
      </w:pPr>
      <w:r>
        <w:rPr>
          <w:rFonts w:hint="eastAsia" w:ascii="宋体" w:hAnsi="宋体" w:cs="宋体"/>
          <w:bCs/>
          <w:color w:val="000000"/>
          <w:sz w:val="24"/>
          <w:szCs w:val="24"/>
          <w:highlight w:val="none"/>
        </w:rPr>
        <w:t>b.假设投资者持有理财计划10万份，若投资者选择全额赎回，管理人在赎回确认日当日将投资者持有的全部10万份份额对应的资金划转至投资者指定理财账户，赎回日当晚清算后收益正常结转的份额，根据销售机构的要求进行相应的份额处理。</w:t>
      </w:r>
    </w:p>
    <w:p>
      <w:pPr>
        <w:spacing w:line="360" w:lineRule="auto"/>
        <w:ind w:firstLine="482" w:firstLineChars="200"/>
        <w:jc w:val="left"/>
        <w:outlineLvl w:val="9"/>
        <w:rPr>
          <w:rFonts w:ascii="宋体" w:hAnsi="宋体" w:cs="宋体"/>
          <w:b/>
          <w:color w:val="FF0000"/>
          <w:sz w:val="24"/>
          <w:szCs w:val="24"/>
          <w:highlight w:val="none"/>
        </w:rPr>
      </w:pPr>
      <w:r>
        <w:rPr>
          <w:rFonts w:hint="eastAsia" w:ascii="宋体" w:hAnsi="宋体" w:cs="宋体"/>
          <w:b/>
          <w:color w:val="000000"/>
          <w:sz w:val="24"/>
          <w:szCs w:val="24"/>
          <w:highlight w:val="none"/>
        </w:rPr>
        <w:t>3. 理财计划终止或提前终止时，管理人将尽快变现非现金类资产，并将变现后的非现金类资产扣除应承担的费用后向本理财计划投资者支付。相应的分配方案将通过管理人或销售机构官网公告。</w:t>
      </w:r>
    </w:p>
    <w:p>
      <w:pPr>
        <w:numPr>
          <w:ilvl w:val="0"/>
          <w:numId w:val="43"/>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最不利情况分析</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由于市场波动导致投资资产贬值或者投资资产发生信用风险导致相应损失，使理财计划赎回或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交易规则</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认购</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具体以销售机构要求为准）</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理财计划认购期内，投资者可以对本理财计划进行认购、追加、撤单，相应投资资金将在投资者指定账户中冻结。</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如新增认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成立</w:t>
      </w:r>
    </w:p>
    <w:p>
      <w:pPr>
        <w:numPr>
          <w:ilvl w:val="0"/>
          <w:numId w:val="50"/>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销售机构有权以投资者的投资金额为限从投资者理财账户中进行资金扣划，无需投资者另行授权。</w:t>
      </w:r>
    </w:p>
    <w:p>
      <w:pPr>
        <w:numPr>
          <w:ilvl w:val="0"/>
          <w:numId w:val="50"/>
        </w:numPr>
        <w:spacing w:line="360" w:lineRule="auto"/>
        <w:ind w:firstLine="480" w:firstLineChars="200"/>
        <w:jc w:val="left"/>
        <w:rPr>
          <w:rFonts w:hint="eastAsia" w:ascii="宋体" w:hAnsi="宋体" w:cs="宋体"/>
          <w:b/>
          <w:sz w:val="24"/>
          <w:szCs w:val="24"/>
          <w:highlight w:val="none"/>
        </w:rPr>
      </w:pPr>
      <w:r>
        <w:rPr>
          <w:rFonts w:hint="eastAsia" w:ascii="宋体" w:hAnsi="宋体" w:cs="宋体"/>
          <w:bCs/>
          <w:color w:val="000000"/>
          <w:sz w:val="24"/>
          <w:szCs w:val="24"/>
          <w:highlight w:val="none"/>
        </w:rPr>
        <w:t>管理人将在理财计划成立日对认购期的认购及追加申请进行确认和划款。</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申购及赎回</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交易确认及时间</w:t>
      </w:r>
    </w:p>
    <w:p>
      <w:pPr>
        <w:numPr>
          <w:ilvl w:val="0"/>
          <w:numId w:val="52"/>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本理财计划在每个开放日的工作时间可进行申购和赎回，申购和赎回申请将在确认日进行确认，即开放日后的第〖</w:t>
      </w:r>
      <w:r>
        <w:rPr>
          <w:rFonts w:hint="eastAsia" w:ascii="宋体" w:hAnsi="宋体" w:cs="宋体"/>
          <w:bCs/>
          <w:color w:val="000000"/>
          <w:sz w:val="24"/>
          <w:szCs w:val="24"/>
          <w:highlight w:val="none"/>
        </w:rPr>
        <w:t>1</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〗进行确认。</w:t>
      </w:r>
    </w:p>
    <w:p>
      <w:pPr>
        <w:keepNext w:val="0"/>
        <w:keepLines w:val="0"/>
        <w:widowControl w:val="0"/>
        <w:numPr>
          <w:ilvl w:val="0"/>
          <w:numId w:val="52"/>
        </w:numPr>
        <w:suppressLineNumbers w:val="0"/>
        <w:spacing w:before="0" w:beforeAutospacing="0" w:after="0" w:afterAutospacing="0" w:line="360" w:lineRule="auto"/>
        <w:ind w:left="0" w:right="0" w:firstLine="480" w:firstLineChars="200"/>
        <w:jc w:val="both"/>
        <w:rPr>
          <w:rFonts w:ascii="宋体" w:hAnsi="宋体" w:cs="宋体"/>
          <w:bCs/>
          <w:sz w:val="24"/>
          <w:szCs w:val="24"/>
          <w:highlight w:val="none"/>
        </w:rPr>
      </w:pPr>
      <w:r>
        <w:rPr>
          <w:rFonts w:hint="eastAsia" w:ascii="宋体" w:hAnsi="宋体" w:cs="宋体"/>
          <w:bCs/>
          <w:sz w:val="24"/>
          <w:szCs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kern w:val="2"/>
          <w:sz w:val="24"/>
          <w:szCs w:val="24"/>
          <w:highlight w:val="none"/>
          <w:lang w:val="en-US" w:eastAsia="zh" w:bidi="ar-SA"/>
        </w:rPr>
        <w:t>0</w:t>
      </w:r>
      <w:r>
        <w:rPr>
          <w:rFonts w:hint="eastAsia" w:ascii="宋体" w:hAnsi="宋体" w:cs="宋体"/>
          <w:bCs/>
          <w:color w:val="000000"/>
          <w:sz w:val="24"/>
          <w:szCs w:val="24"/>
          <w:highlight w:val="none"/>
        </w:rPr>
        <w:t>:00</w:t>
      </w:r>
      <w:r>
        <w:rPr>
          <w:rFonts w:hint="eastAsia" w:ascii="宋体" w:hAnsi="宋体" w:cs="宋体"/>
          <w:bCs/>
          <w:sz w:val="24"/>
          <w:szCs w:val="24"/>
          <w:highlight w:val="none"/>
        </w:rPr>
        <w:t>〗至〖</w:t>
      </w:r>
      <w:r>
        <w:rPr>
          <w:rFonts w:hint="eastAsia" w:ascii="宋体" w:hAnsi="宋体" w:cs="宋体"/>
          <w:bCs/>
          <w:kern w:val="2"/>
          <w:sz w:val="24"/>
          <w:szCs w:val="24"/>
          <w:highlight w:val="none"/>
          <w:lang w:val="en-US" w:eastAsia="zh" w:bidi="ar-SA"/>
        </w:rPr>
        <w:t>24</w:t>
      </w:r>
      <w:r>
        <w:rPr>
          <w:rFonts w:hint="eastAsia" w:ascii="宋体" w:hAnsi="宋体" w:cs="宋体"/>
          <w:bCs/>
          <w:color w:val="000000"/>
          <w:sz w:val="24"/>
          <w:szCs w:val="24"/>
          <w:highlight w:val="none"/>
        </w:rPr>
        <w:t>:00</w:t>
      </w:r>
      <w:r>
        <w:rPr>
          <w:rFonts w:hint="eastAsia" w:ascii="宋体" w:hAnsi="宋体" w:cs="宋体"/>
          <w:bCs/>
          <w:sz w:val="24"/>
          <w:szCs w:val="24"/>
          <w:highlight w:val="none"/>
        </w:rPr>
        <w:t>〗</w:t>
      </w:r>
      <w:r>
        <w:rPr>
          <w:rFonts w:hint="eastAsia" w:ascii="宋体" w:hAnsi="宋体" w:eastAsia="宋体" w:cs="宋体"/>
          <w:color w:val="000000"/>
          <w:kern w:val="2"/>
          <w:sz w:val="24"/>
          <w:szCs w:val="24"/>
          <w:lang w:val="en-US" w:eastAsia="zh-CN" w:bidi="ar"/>
        </w:rPr>
        <w:t>(不含)</w:t>
      </w:r>
      <w:r>
        <w:rPr>
          <w:rFonts w:hint="eastAsia" w:ascii="宋体" w:hAnsi="宋体" w:cs="宋体"/>
          <w:bCs/>
          <w:sz w:val="24"/>
          <w:szCs w:val="24"/>
          <w:highlight w:val="none"/>
        </w:rPr>
        <w:t>。</w:t>
      </w:r>
      <w:r>
        <w:rPr>
          <w:rFonts w:hint="eastAsia" w:ascii="宋体" w:hAnsi="宋体" w:cs="宋体"/>
          <w:color w:val="000000"/>
          <w:kern w:val="0"/>
          <w:sz w:val="24"/>
          <w:szCs w:val="24"/>
          <w:highlight w:val="none"/>
        </w:rPr>
        <w:t>（具体以销售机构规定为准）</w:t>
      </w:r>
    </w:p>
    <w:p>
      <w:pPr>
        <w:numPr>
          <w:ilvl w:val="0"/>
          <w:numId w:val="52"/>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如</w:t>
      </w:r>
      <w:r>
        <w:rPr>
          <w:rFonts w:hint="eastAsia" w:ascii="宋体" w:hAnsi="宋体" w:cs="宋体"/>
          <w:bCs/>
          <w:color w:val="000000"/>
          <w:sz w:val="24"/>
          <w:szCs w:val="24"/>
          <w:highlight w:val="none"/>
        </w:rPr>
        <w:t>新增申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5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投资者在非工作时间内提出申购和赎回申请，申请将在第二个</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color w:val="000000"/>
          <w:sz w:val="24"/>
          <w:szCs w:val="24"/>
          <w:highlight w:val="none"/>
        </w:rPr>
        <w:t>工作时间内予以确认。未确认的申购和赎回申请可在确认日期前一</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kern w:val="2"/>
          <w:sz w:val="24"/>
          <w:szCs w:val="24"/>
          <w:highlight w:val="none"/>
          <w:lang w:val="en-US" w:eastAsia="zh" w:bidi="ar-SA"/>
        </w:rPr>
        <w:t>24</w:t>
      </w:r>
      <w:r>
        <w:rPr>
          <w:rFonts w:hint="eastAsia" w:ascii="宋体" w:hAnsi="宋体" w:cs="宋体"/>
          <w:bCs/>
          <w:color w:val="000000"/>
          <w:sz w:val="24"/>
          <w:szCs w:val="24"/>
          <w:highlight w:val="none"/>
        </w:rPr>
        <w:t>:00</w:t>
      </w:r>
      <w:r>
        <w:rPr>
          <w:rFonts w:hint="eastAsia" w:ascii="宋体" w:hAnsi="宋体" w:cs="宋体"/>
          <w:bCs/>
          <w:sz w:val="24"/>
          <w:szCs w:val="24"/>
          <w:highlight w:val="none"/>
        </w:rPr>
        <w:t>〗</w:t>
      </w:r>
      <w:r>
        <w:rPr>
          <w:rFonts w:hint="eastAsia" w:ascii="宋体" w:hAnsi="宋体" w:cs="宋体"/>
          <w:bCs/>
          <w:color w:val="000000"/>
          <w:sz w:val="24"/>
          <w:szCs w:val="24"/>
          <w:highlight w:val="none"/>
        </w:rPr>
        <w:t>前撤销。</w:t>
      </w:r>
    </w:p>
    <w:tbl>
      <w:tblPr>
        <w:tblStyle w:val="11"/>
        <w:tblW w:w="82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0"/>
        <w:gridCol w:w="3676"/>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申请操作</w:t>
            </w:r>
          </w:p>
        </w:tc>
        <w:tc>
          <w:tcPr>
            <w:tcW w:w="36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申请时间</w:t>
            </w:r>
          </w:p>
        </w:tc>
        <w:tc>
          <w:tcPr>
            <w:tcW w:w="246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确认日期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w:t>
            </w: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申购申请日后第二个工作日确认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w:t>
            </w: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赎回申请日后第二个工作日确认</w:t>
            </w:r>
          </w:p>
        </w:tc>
      </w:tr>
    </w:tbl>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到账时间</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赎回资金确认后，最快确认日当日支付，该资金对应的收益支付方式见本说明书第九条收益计算与支付相应条款。如遇资金在途或法定工作日调整，实际资金到账日以公告为准。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巨额赎回处理</w:t>
      </w:r>
    </w:p>
    <w:p>
      <w:pPr>
        <w:numPr>
          <w:ilvl w:val="0"/>
          <w:numId w:val="5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巨额赎回认定</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理财计划存续期内，若理财计划开放日净赎回申请份额超过上一日日终理财计划总份额〖</w:t>
      </w:r>
      <w:r>
        <w:rPr>
          <w:rFonts w:hint="eastAsia" w:ascii="宋体" w:hAnsi="宋体" w:cs="宋体"/>
          <w:bCs/>
          <w:color w:val="000000"/>
          <w:sz w:val="24"/>
          <w:szCs w:val="24"/>
          <w:highlight w:val="none"/>
        </w:rPr>
        <w:t>10%</w:t>
      </w:r>
      <w:r>
        <w:rPr>
          <w:rFonts w:hint="eastAsia" w:ascii="宋体" w:hAnsi="宋体" w:cs="宋体"/>
          <w:bCs/>
          <w:sz w:val="24"/>
          <w:szCs w:val="24"/>
          <w:highlight w:val="none"/>
        </w:rPr>
        <w:t>〗时，即构成巨额赎回。</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巨额赎回处理</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出现巨额赎回时，管理人可以根据资产组合状况决定采取全额赎回或拒绝超出部分的赎回申请。如连续2日（含）以上开放日发生巨额赎回，对于已经接受的赎回申请，管理人可以延缓支付赎回款项，但延缓期限不得超过20个工作日。</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全部赎回</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当管理人认为全额兑付投资者的赎回申请将不会对本理财计划净值造成较大波动或给本理财计划造成重大损失时，按正常赎回程序执行。</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拒绝超出部分的赎回申请</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szCs w:val="24"/>
          <w:highlight w:val="none"/>
        </w:rPr>
        <w:t>10%</w:t>
      </w:r>
      <w:r>
        <w:rPr>
          <w:rFonts w:hint="eastAsia" w:ascii="宋体" w:hAnsi="宋体" w:cs="宋体"/>
          <w:bCs/>
          <w:sz w:val="24"/>
          <w:szCs w:val="24"/>
          <w:highlight w:val="none"/>
        </w:rPr>
        <w:t>〗的前提下，对其余赎回申请予以拒绝，但投资者可于下一赎回开放期重新进行赎回申请。</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在理财计划存续期内，管理人有权根据市场情况调整巨额赎回金额比例，并及时进行对外公告。</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暂停申购、赎回及延期支付赎回的情形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发生以下情形，管理人可暂停接受全部或部分投资者的申购申请：</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理财计划资产规模过大，继续接受申购可能对理财计划业绩产生负面影响，从而损害现有份额持有人利益的情形时。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当管理人认为某笔申购申请会有损于其他份额持有人利益的情形时。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发生产品说明书约定的暂停估值的情形时。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发生以下情形，对超出前一日终理财产品总份额10%的赎回申请，管理人可暂停接受全部或部分、延期办理投资者的赎回申请：</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理财计划发生巨额赎回情形时。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当继续</w:t>
      </w:r>
      <w:r>
        <w:rPr>
          <w:rFonts w:ascii="宋体" w:hAnsi="宋体" w:cs="宋体"/>
          <w:bCs/>
          <w:sz w:val="24"/>
          <w:szCs w:val="24"/>
          <w:highlight w:val="none"/>
        </w:rPr>
        <w:t>接受赎回申请将损害存量投资者利益的情形</w:t>
      </w:r>
      <w:r>
        <w:rPr>
          <w:rFonts w:hint="eastAsia" w:ascii="宋体" w:hAnsi="宋体" w:cs="宋体"/>
          <w:bCs/>
          <w:sz w:val="24"/>
          <w:szCs w:val="24"/>
          <w:highlight w:val="none"/>
        </w:rPr>
        <w:t>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w:t>
      </w:r>
      <w:r>
        <w:rPr>
          <w:rFonts w:ascii="宋体" w:hAnsi="宋体" w:cs="宋体"/>
          <w:bCs/>
          <w:sz w:val="24"/>
          <w:szCs w:val="24"/>
          <w:highlight w:val="none"/>
        </w:rPr>
        <w:t>前一估值日</w:t>
      </w:r>
      <w:r>
        <w:rPr>
          <w:rFonts w:hint="eastAsia" w:ascii="宋体" w:hAnsi="宋体" w:cs="宋体"/>
          <w:bCs/>
          <w:sz w:val="24"/>
          <w:szCs w:val="24"/>
          <w:highlight w:val="none"/>
        </w:rPr>
        <w:t>理财计划</w:t>
      </w:r>
      <w:r>
        <w:rPr>
          <w:rFonts w:ascii="宋体" w:hAnsi="宋体" w:cs="宋体"/>
          <w:bCs/>
          <w:sz w:val="24"/>
          <w:szCs w:val="24"/>
          <w:highlight w:val="none"/>
        </w:rPr>
        <w:t>资产净值50%以上的资产不具备活跃交易市场或者在活跃市场中无报价，且不能采用估值技术可靠计量公允价值</w:t>
      </w:r>
      <w:r>
        <w:rPr>
          <w:rFonts w:hint="eastAsia" w:ascii="宋体" w:hAnsi="宋体" w:cs="宋体"/>
          <w:bCs/>
          <w:sz w:val="24"/>
          <w:szCs w:val="24"/>
          <w:highlight w:val="none"/>
        </w:rPr>
        <w:t>的情形</w:t>
      </w:r>
      <w:r>
        <w:rPr>
          <w:rFonts w:ascii="宋体" w:hAnsi="宋体" w:cs="宋体"/>
          <w:bCs/>
          <w:sz w:val="24"/>
          <w:szCs w:val="24"/>
          <w:highlight w:val="none"/>
        </w:rPr>
        <w:t>时</w:t>
      </w:r>
      <w:r>
        <w:rPr>
          <w:rFonts w:hint="eastAsia" w:ascii="宋体" w:hAnsi="宋体" w:cs="宋体"/>
          <w:bCs/>
          <w:sz w:val="24"/>
          <w:szCs w:val="24"/>
          <w:highlight w:val="none"/>
        </w:rPr>
        <w:t>。</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发生产品说明书约定的暂停估值的情形时。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发生以下情形，管理人对已接受的赎回申请，可延期支付赎回款项：</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因不可抗力等原因，导致管理人接受赎回申请后无法及时兑付的情形时。</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连续</w:t>
      </w:r>
      <w:r>
        <w:rPr>
          <w:rFonts w:ascii="宋体" w:hAnsi="宋体" w:cs="宋体"/>
          <w:bCs/>
          <w:sz w:val="24"/>
          <w:szCs w:val="24"/>
          <w:highlight w:val="none"/>
        </w:rPr>
        <w:t>2</w:t>
      </w:r>
      <w:r>
        <w:rPr>
          <w:rFonts w:hint="eastAsia" w:ascii="宋体" w:hAnsi="宋体" w:cs="宋体"/>
          <w:bCs/>
          <w:sz w:val="24"/>
          <w:szCs w:val="24"/>
          <w:highlight w:val="none"/>
        </w:rPr>
        <w:t>日</w:t>
      </w:r>
      <w:r>
        <w:rPr>
          <w:rFonts w:ascii="宋体" w:hAnsi="宋体" w:cs="宋体"/>
          <w:bCs/>
          <w:sz w:val="24"/>
          <w:szCs w:val="24"/>
          <w:highlight w:val="none"/>
        </w:rPr>
        <w:t>（含）以上开放日发生巨额赎回的</w:t>
      </w:r>
      <w:r>
        <w:rPr>
          <w:rFonts w:hint="eastAsia" w:ascii="宋体" w:hAnsi="宋体" w:cs="宋体"/>
          <w:bCs/>
          <w:sz w:val="24"/>
          <w:szCs w:val="24"/>
          <w:highlight w:val="none"/>
        </w:rPr>
        <w:t>情形时。</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当前</w:t>
      </w:r>
      <w:r>
        <w:rPr>
          <w:rFonts w:ascii="宋体" w:hAnsi="宋体" w:cs="宋体"/>
          <w:bCs/>
          <w:sz w:val="24"/>
          <w:szCs w:val="24"/>
          <w:highlight w:val="none"/>
        </w:rPr>
        <w:t>一估值日</w:t>
      </w:r>
      <w:r>
        <w:rPr>
          <w:rFonts w:hint="eastAsia" w:ascii="宋体" w:hAnsi="宋体" w:cs="宋体"/>
          <w:bCs/>
          <w:sz w:val="24"/>
          <w:szCs w:val="24"/>
          <w:highlight w:val="none"/>
        </w:rPr>
        <w:t>理财计划</w:t>
      </w:r>
      <w:r>
        <w:rPr>
          <w:rFonts w:ascii="宋体" w:hAnsi="宋体" w:cs="宋体"/>
          <w:bCs/>
          <w:sz w:val="24"/>
          <w:szCs w:val="24"/>
          <w:highlight w:val="none"/>
        </w:rPr>
        <w:t>资产净值50%以上的资产不具备活跃交易市场或者在活跃市场中无报价，且不能采用估值技术可靠计量公允价值</w:t>
      </w:r>
      <w:r>
        <w:rPr>
          <w:rFonts w:hint="eastAsia" w:ascii="宋体" w:hAnsi="宋体" w:cs="宋体"/>
          <w:bCs/>
          <w:sz w:val="24"/>
          <w:szCs w:val="24"/>
          <w:highlight w:val="none"/>
        </w:rPr>
        <w:t>的情形</w:t>
      </w:r>
      <w:r>
        <w:rPr>
          <w:rFonts w:ascii="宋体" w:hAnsi="宋体" w:cs="宋体"/>
          <w:bCs/>
          <w:sz w:val="24"/>
          <w:szCs w:val="24"/>
          <w:highlight w:val="none"/>
        </w:rPr>
        <w:t>时</w:t>
      </w:r>
      <w:r>
        <w:rPr>
          <w:rFonts w:hint="eastAsia" w:ascii="宋体" w:hAnsi="宋体" w:cs="宋体"/>
          <w:bCs/>
          <w:sz w:val="24"/>
          <w:szCs w:val="24"/>
          <w:highlight w:val="none"/>
        </w:rPr>
        <w:t>。</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到期清算</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正常到期清算：本理财计划终止后，管理人将按照清算后的资产净值按持有份额比例对投资者进行分配，并通过销售机构最快〖</w:t>
      </w:r>
      <w:r>
        <w:rPr>
          <w:rFonts w:hint="eastAsia" w:ascii="宋体" w:hAnsi="宋体" w:cs="宋体"/>
          <w:bCs/>
          <w:color w:val="000000"/>
          <w:sz w:val="24"/>
          <w:szCs w:val="24"/>
          <w:highlight w:val="none"/>
        </w:rPr>
        <w:t>1</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提前终止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szCs w:val="24"/>
          <w:highlight w:val="none"/>
        </w:rPr>
        <w:t>2〗</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szCs w:val="24"/>
          <w:highlight w:val="none"/>
        </w:rPr>
        <w:t>〗</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如发生以下事项时，管理人可对本理财计划行使全部或部分提前终止权：</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如因本理财计划资产运作模式等与法律法规、规章的规定或者监管部门的要求等存在冲突导致理财计划必须提前终止的。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国家有关法律、法规、规章、政策的改变、紧急措施的出台、理财市场环境发生重大变化等导致理财计划必须提前终止的。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因不可抗力因素导致本理财计划必须提前终止的。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理财计划的投资策略已不适合当前的市场环境的。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融资人行使提前到期或还款权利的。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管理人认为应该提前终止的其他情形。</w:t>
      </w:r>
    </w:p>
    <w:p>
      <w:pPr>
        <w:numPr>
          <w:ilvl w:val="0"/>
          <w:numId w:val="4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延期</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预计在理财计划预计到期日，理财计划资产因市场风险、信用风险等原因无法全部变现。</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预计理财计划所投资的信托计划、资管计划、私募基金的受托人或管理人不能按时向管理人划付理财计划的本金和收益。</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理财计划财产涉及诉讼或仲裁，且预计诉讼或仲裁执行程序于理财计划到期日尚未终结。</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管理人与托管人、销售机构协商一致决定延期。</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法律法规规定的或管理人认为有必要延期的其他情形。</w:t>
      </w:r>
    </w:p>
    <w:p>
      <w:pPr>
        <w:spacing w:line="360" w:lineRule="auto"/>
        <w:jc w:val="left"/>
        <w:rPr>
          <w:rFonts w:ascii="宋体" w:hAnsi="宋体" w:cs="宋体"/>
          <w:b/>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信息披露</w:t>
      </w:r>
    </w:p>
    <w:p>
      <w:pPr>
        <w:numPr>
          <w:ilvl w:val="0"/>
          <w:numId w:val="5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披露内容及时间</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认购信息披露</w:t>
      </w:r>
    </w:p>
    <w:p>
      <w:pPr>
        <w:numPr>
          <w:ilvl w:val="0"/>
          <w:numId w:val="61"/>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61"/>
        </w:num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发行公告：管理人应在理财计划成立日后5个工作日内披露，包括成立日期、募集规模等信息。</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运作信息披露</w:t>
      </w:r>
    </w:p>
    <w:p>
      <w:pPr>
        <w:numPr>
          <w:ilvl w:val="0"/>
          <w:numId w:val="6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当日每万份理财计划收益：管理人将根据理财计划实际投资运作情况计算存续期内每个开放日的当日每万份收益，并于下一开放日公布。非开放日的每万份收益将于下一产品开放日公布。</w:t>
      </w:r>
    </w:p>
    <w:p>
      <w:pPr>
        <w:numPr>
          <w:ilvl w:val="0"/>
          <w:numId w:val="62"/>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如本理财计划成立不足90个工作日或剩余存续期不超过90个工作日的，管理人可不编制当期的季度、半年和年度报告等运行报告。</w:t>
      </w:r>
    </w:p>
    <w:p>
      <w:pPr>
        <w:numPr>
          <w:ilvl w:val="0"/>
          <w:numId w:val="62"/>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到期报告：管理人应在理财计划到期后5个工作日内披露，包括存续期限、到期兑付净值、收益分配情况等信息。</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临时信息披露</w:t>
      </w:r>
    </w:p>
    <w:p>
      <w:pPr>
        <w:numPr>
          <w:ilvl w:val="0"/>
          <w:numId w:val="63"/>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63"/>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59"/>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披露方式</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szCs w:val="24"/>
          <w:highlight w:val="none"/>
        </w:rPr>
      </w:pPr>
    </w:p>
    <w:p>
      <w:pPr>
        <w:numPr>
          <w:ilvl w:val="0"/>
          <w:numId w:val="28"/>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其他</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追索条款</w:t>
      </w:r>
    </w:p>
    <w:p>
      <w:p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信息安全</w:t>
      </w:r>
    </w:p>
    <w:p>
      <w:p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color w:val="000000"/>
          <w:sz w:val="24"/>
          <w:szCs w:val="24"/>
          <w:highlight w:val="none"/>
        </w:rPr>
        <w:t>投资者在此同意并授权，管理人可根据监管要求，为理财计划登记等需要，向登记部门或监管机构提供投资者相关信息，授权使用时限与履行相关法律法规和监管要求的必要时限一致。</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争议解决</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被告人所在地有管辖权的人民法院诉讼解决。</w:t>
      </w:r>
    </w:p>
    <w:p>
      <w:pPr>
        <w:numPr>
          <w:ilvl w:val="0"/>
          <w:numId w:val="64"/>
        </w:numPr>
        <w:spacing w:line="360" w:lineRule="auto"/>
        <w:ind w:firstLine="482" w:firstLineChars="200"/>
        <w:jc w:val="left"/>
        <w:outlineLvl w:val="9"/>
        <w:rPr>
          <w:rFonts w:hint="eastAsia" w:ascii="宋体" w:hAnsi="宋体" w:cs="宋体"/>
          <w:b/>
          <w:sz w:val="24"/>
          <w:szCs w:val="24"/>
          <w:highlight w:val="none"/>
        </w:rPr>
      </w:pPr>
      <w:r>
        <w:rPr>
          <w:rFonts w:hint="eastAsia" w:ascii="宋体" w:hAnsi="宋体" w:cs="宋体"/>
          <w:b/>
          <w:sz w:val="24"/>
          <w:szCs w:val="24"/>
          <w:highlight w:val="none"/>
        </w:rPr>
        <w:t>特别提示</w:t>
      </w:r>
    </w:p>
    <w:p>
      <w:pPr>
        <w:spacing w:line="360" w:lineRule="auto"/>
        <w:ind w:firstLine="482" w:firstLineChars="200"/>
        <w:rPr>
          <w:rFonts w:hint="eastAsia" w:ascii="宋体" w:hAnsi="宋体" w:cs="宋体"/>
          <w:b/>
          <w:color w:val="000000"/>
          <w:sz w:val="24"/>
          <w:szCs w:val="24"/>
          <w:highlight w:val="none"/>
        </w:rPr>
      </w:pPr>
      <w:r>
        <w:rPr>
          <w:rFonts w:hint="eastAsia" w:ascii="宋体" w:hAnsi="宋体" w:cs="宋体"/>
          <w:b/>
          <w:color w:val="000000"/>
          <w:sz w:val="24"/>
          <w:szCs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p>
      <w:pP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br w:type="page"/>
      </w:r>
    </w:p>
    <w:p>
      <w:pPr>
        <w:spacing w:line="360" w:lineRule="auto"/>
        <w:jc w:val="center"/>
        <w:outlineLvl w:val="9"/>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65"/>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66"/>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67"/>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kern w:val="0"/>
                <w:sz w:val="24"/>
                <w:highlight w:val="none"/>
              </w:rPr>
            </w:pPr>
            <w:r>
              <w:rPr>
                <w:rFonts w:hint="eastAsia" w:ascii="宋体" w:hAnsi="宋体" w:cs="宋体"/>
                <w:b/>
                <w:kern w:val="0"/>
                <w:sz w:val="24"/>
                <w:highlight w:val="none"/>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kern w:val="0"/>
                <w:sz w:val="24"/>
                <w:highlight w:val="none"/>
              </w:rPr>
            </w:pPr>
            <w:r>
              <w:rPr>
                <w:rFonts w:hint="eastAsia" w:ascii="宋体" w:hAnsi="宋体" w:cs="宋体"/>
                <w:kern w:val="0"/>
                <w:sz w:val="24"/>
                <w:highlight w:val="none"/>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kern w:val="0"/>
                <w:sz w:val="24"/>
                <w:highlight w:val="none"/>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kern w:val="0"/>
                <w:sz w:val="24"/>
                <w:highlight w:val="none"/>
              </w:rPr>
            </w:pPr>
            <w:r>
              <w:rPr>
                <w:rFonts w:hint="eastAsia" w:ascii="宋体" w:hAnsi="宋体" w:cs="宋体"/>
                <w:kern w:val="0"/>
                <w:sz w:val="24"/>
                <w:highlight w:val="none"/>
              </w:rPr>
              <w:t>机构投资者及进取型的个人投资者</w:t>
            </w:r>
          </w:p>
        </w:tc>
      </w:tr>
    </w:tbl>
    <w:p>
      <w:pPr>
        <w:pStyle w:val="20"/>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68"/>
        </w:numPr>
        <w:spacing w:line="360" w:lineRule="auto"/>
        <w:outlineLvl w:val="9"/>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69"/>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70"/>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71"/>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71"/>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1"/>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9"/>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7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72"/>
        </w:numPr>
        <w:spacing w:line="360" w:lineRule="auto"/>
        <w:outlineLvl w:val="9"/>
        <w:rPr>
          <w:rFonts w:hint="eastAsia" w:ascii="宋体" w:hAnsi="宋体" w:cs="宋体"/>
          <w:kern w:val="0"/>
          <w:sz w:val="24"/>
          <w:highlight w:val="none"/>
        </w:rPr>
      </w:pPr>
      <w:r>
        <w:rPr>
          <w:rFonts w:hint="eastAsia" w:ascii="宋体" w:hAnsi="宋体" w:cs="宋体"/>
          <w:kern w:val="0"/>
          <w:sz w:val="24"/>
          <w:highlight w:val="none"/>
        </w:rPr>
        <w:t>联络方式</w:t>
      </w:r>
    </w:p>
    <w:p>
      <w:pPr>
        <w:numPr>
          <w:ilvl w:val="0"/>
          <w:numId w:val="73"/>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4"/>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73"/>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rFonts w:hint="eastAsia" w:ascii="宋体" w:hAnsi="宋体" w:cs="宋体"/>
          <w:color w:val="auto"/>
          <w:kern w:val="0"/>
          <w:sz w:val="24"/>
          <w:highlight w:val="none"/>
          <w:u w:val="none"/>
          <w:lang w:val="en-US" w:eastAsia="zh-CN"/>
        </w:rPr>
        <w:fldChar w:fldCharType="begin"/>
      </w:r>
      <w:r>
        <w:rPr>
          <w:rFonts w:hint="eastAsia" w:ascii="宋体" w:hAnsi="宋体" w:cs="宋体"/>
          <w:color w:val="auto"/>
          <w:kern w:val="0"/>
          <w:sz w:val="24"/>
          <w:highlight w:val="none"/>
          <w:u w:val="none"/>
          <w:lang w:val="en-US" w:eastAsia="zh-CN"/>
        </w:rPr>
        <w:instrText xml:space="preserve"> HYPERLINK "http://www.hzbankwealth.cn" </w:instrText>
      </w:r>
      <w:r>
        <w:rPr>
          <w:rFonts w:hint="eastAsia" w:ascii="宋体" w:hAnsi="宋体" w:cs="宋体"/>
          <w:color w:val="auto"/>
          <w:kern w:val="0"/>
          <w:sz w:val="24"/>
          <w:highlight w:val="none"/>
          <w:u w:val="none"/>
          <w:lang w:val="en-US" w:eastAsia="zh-CN"/>
        </w:rPr>
        <w:fldChar w:fldCharType="separate"/>
      </w:r>
      <w:r>
        <w:rPr>
          <w:rStyle w:val="14"/>
          <w:rFonts w:hint="eastAsia" w:ascii="宋体" w:hAnsi="宋体" w:cs="宋体"/>
          <w:color w:val="auto"/>
          <w:kern w:val="0"/>
          <w:sz w:val="24"/>
          <w:highlight w:val="none"/>
          <w:u w:val="none"/>
          <w:lang w:val="en-US" w:eastAsia="zh-CN"/>
        </w:rPr>
        <w:t>www.hzbank.com.cn</w:t>
      </w:r>
      <w:r>
        <w:rPr>
          <w:rFonts w:hint="eastAsia" w:ascii="宋体" w:hAnsi="宋体" w:cs="宋体"/>
          <w:color w:val="auto"/>
          <w:kern w:val="0"/>
          <w:sz w:val="24"/>
          <w:highlight w:val="none"/>
          <w:u w:val="none"/>
          <w:lang w:val="en-US" w:eastAsia="zh-CN"/>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ascii="宋体" w:hAnsi="宋体" w:cs="宋体"/>
          <w:bCs/>
          <w:color w:val="000000"/>
          <w:sz w:val="24"/>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rPr>
          <w:rFonts w:ascii="宋体" w:hAnsi="宋体" w:cs="宋体"/>
          <w:bCs/>
          <w:color w:val="000000"/>
          <w:sz w:val="24"/>
          <w:highlight w:val="none"/>
        </w:rPr>
      </w:pPr>
      <w:r>
        <w:rPr>
          <w:rFonts w:ascii="宋体" w:hAnsi="宋体" w:cs="宋体"/>
          <w:bCs/>
          <w:color w:val="000000"/>
          <w:sz w:val="24"/>
          <w:highlight w:val="none"/>
        </w:rPr>
        <w:br w:type="page"/>
      </w:r>
    </w:p>
    <w:p>
      <w:pPr>
        <w:jc w:val="center"/>
        <w:outlineLvl w:val="9"/>
        <w:rPr>
          <w:rFonts w:hint="eastAsia"/>
          <w:b/>
          <w:sz w:val="44"/>
          <w:szCs w:val="44"/>
          <w:highlight w:val="none"/>
        </w:rPr>
      </w:pPr>
      <w:r>
        <w:rPr>
          <w:rFonts w:hint="eastAsia"/>
          <w:b/>
          <w:sz w:val="44"/>
          <w:szCs w:val="44"/>
          <w:highlight w:val="none"/>
        </w:rPr>
        <w:t>杭银理财理财计划投资协议书</w:t>
      </w:r>
    </w:p>
    <w:p>
      <w:pPr>
        <w:jc w:val="center"/>
        <w:rPr>
          <w:rFonts w:hint="eastAsia"/>
          <w:b/>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b/>
          <w:sz w:val="32"/>
          <w:szCs w:val="32"/>
          <w:highlight w:val="none"/>
        </w:rPr>
      </w:pPr>
      <w:r>
        <w:rPr>
          <w:rFonts w:hint="eastAsia" w:ascii="宋体" w:hAnsi="宋体" w:cs="宋体"/>
          <w:b/>
          <w:bCs/>
          <w:sz w:val="24"/>
          <w:highlight w:val="none"/>
          <w:u w:val="single"/>
        </w:rPr>
        <w:t>理财非存款、产品有风险、投资须谨慎</w:t>
      </w:r>
    </w:p>
    <w:p>
      <w:pPr>
        <w:spacing w:line="360" w:lineRule="auto"/>
        <w:ind w:firstLine="482" w:firstLineChars="200"/>
        <w:rPr>
          <w:rFonts w:hint="eastAsia"/>
          <w:b/>
          <w:bCs/>
          <w:sz w:val="24"/>
          <w:highlight w:val="none"/>
        </w:rPr>
      </w:pPr>
      <w:r>
        <w:rPr>
          <w:rFonts w:hint="eastAsia"/>
          <w:b/>
          <w:bCs/>
          <w:sz w:val="24"/>
          <w:highlight w:val="none"/>
        </w:rPr>
        <w:t>特别提示：杭银理财理财计划投资协议书与</w:t>
      </w:r>
      <w:r>
        <w:rPr>
          <w:rFonts w:hint="eastAsia"/>
          <w:b/>
          <w:bCs/>
          <w:sz w:val="24"/>
          <w:highlight w:val="none"/>
          <w:lang w:eastAsia="zh-CN"/>
        </w:rPr>
        <w:t>理财计划风险揭示书、理财计划产品说明书、</w:t>
      </w:r>
      <w:r>
        <w:rPr>
          <w:rFonts w:hint="eastAsia"/>
          <w:b/>
          <w:bCs/>
          <w:sz w:val="24"/>
          <w:highlight w:val="none"/>
        </w:rPr>
        <w:t>投资者权益须知</w:t>
      </w:r>
      <w:r>
        <w:rPr>
          <w:rFonts w:hint="eastAsia"/>
          <w:b/>
          <w:bCs/>
          <w:sz w:val="24"/>
          <w:highlight w:val="none"/>
          <w:lang w:eastAsia="zh-CN"/>
        </w:rPr>
        <w:t>及理财计划销售协议书</w:t>
      </w:r>
      <w:r>
        <w:rPr>
          <w:rFonts w:hint="eastAsia"/>
          <w:b/>
          <w:bCs/>
          <w:sz w:val="24"/>
          <w:highlight w:val="none"/>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sz w:val="24"/>
          <w:highlight w:val="none"/>
        </w:rPr>
      </w:pPr>
      <w:r>
        <w:rPr>
          <w:rFonts w:hint="eastAsia"/>
          <w:sz w:val="24"/>
          <w:highlight w:val="none"/>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sz w:val="24"/>
          <w:highlight w:val="none"/>
        </w:rPr>
      </w:pPr>
    </w:p>
    <w:p>
      <w:pPr>
        <w:numPr>
          <w:ilvl w:val="0"/>
          <w:numId w:val="74"/>
        </w:numPr>
        <w:spacing w:line="360" w:lineRule="auto"/>
        <w:ind w:firstLine="482" w:firstLineChars="200"/>
        <w:outlineLvl w:val="9"/>
        <w:rPr>
          <w:rFonts w:hint="eastAsia" w:ascii="宋体" w:hAnsi="宋体"/>
          <w:b/>
          <w:bCs/>
          <w:sz w:val="24"/>
          <w:highlight w:val="none"/>
        </w:rPr>
      </w:pPr>
      <w:r>
        <w:rPr>
          <w:rFonts w:hint="eastAsia"/>
          <w:b/>
          <w:bCs/>
          <w:sz w:val="24"/>
          <w:highlight w:val="none"/>
        </w:rPr>
        <w:t>名词释义</w:t>
      </w:r>
    </w:p>
    <w:p>
      <w:pPr>
        <w:spacing w:line="360" w:lineRule="auto"/>
        <w:ind w:firstLine="480" w:firstLineChars="200"/>
        <w:rPr>
          <w:rFonts w:hint="eastAsia"/>
          <w:bCs/>
          <w:sz w:val="24"/>
          <w:highlight w:val="none"/>
        </w:rPr>
      </w:pPr>
      <w:r>
        <w:rPr>
          <w:rFonts w:hint="eastAsia"/>
          <w:bCs/>
          <w:sz w:val="24"/>
          <w:highlight w:val="none"/>
        </w:rPr>
        <w:t>详见理财计划说明书“释义”部分。</w:t>
      </w:r>
    </w:p>
    <w:p>
      <w:pPr>
        <w:spacing w:line="360" w:lineRule="auto"/>
        <w:ind w:firstLine="480" w:firstLineChars="200"/>
        <w:rPr>
          <w:rFonts w:hint="eastAsia"/>
          <w:bCs/>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投资者权利与义务</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kern w:val="0"/>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投资者保证自身完全了解理财投资的性质，投资所涉及的风险以及自身风险承受能力，在慎重考虑后独立作出交易决定。</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投资者保证其有权利签署本协议和履行本协议所述的义务，并已为此采取一切所需的行为。</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本协议终止前，投资者不得将授权指定账户销户。若发生因投资者注销授权指定账户造成理财计划无法正常兑付的，管理人不承担任何责任。</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75"/>
        </w:numPr>
        <w:spacing w:line="360" w:lineRule="auto"/>
        <w:contextualSpacing/>
        <w:outlineLvl w:val="9"/>
        <w:rPr>
          <w:rFonts w:ascii="宋体" w:hAnsi="宋体"/>
          <w:sz w:val="24"/>
          <w:highlight w:val="none"/>
        </w:rPr>
      </w:pPr>
      <w:r>
        <w:rPr>
          <w:rFonts w:hint="eastAsia" w:ascii="宋体" w:hAnsi="宋体"/>
          <w:sz w:val="24"/>
          <w:highlight w:val="none"/>
        </w:rPr>
        <w:t xml:space="preserve">投资者进行投资时，应严格遵守反洗钱相关法规的规定，切实履行反洗钱及反恐怖融资义务。 </w:t>
      </w:r>
    </w:p>
    <w:p>
      <w:pPr>
        <w:spacing w:line="360" w:lineRule="auto"/>
        <w:ind w:left="482"/>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管理人权利与义务</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管理人应当诚实守信、勤勉尽责地履行受人之托、代人理财职责。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管理人应当按照理财计划销售文件的约定收取管理费用、确定收益分配方案、向投资者分配收益。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管理人应当按照理财计划销售文件的约定履行风险揭示及信息披露义务。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管理人应当确保理财业务与其他业务相分离，理财计划之间相分离，理财业务操作与其他业务操作相分离。 </w:t>
      </w:r>
    </w:p>
    <w:p>
      <w:pPr>
        <w:widowControl/>
        <w:numPr>
          <w:ilvl w:val="0"/>
          <w:numId w:val="76"/>
        </w:numPr>
        <w:spacing w:line="360" w:lineRule="auto"/>
        <w:contextualSpacing/>
        <w:outlineLvl w:val="9"/>
        <w:rPr>
          <w:rFonts w:ascii="宋体" w:hAnsi="宋体"/>
          <w:sz w:val="24"/>
          <w:highlight w:val="none"/>
        </w:rPr>
      </w:pPr>
      <w:r>
        <w:rPr>
          <w:rFonts w:ascii="宋体" w:hAnsi="宋体"/>
          <w:sz w:val="24"/>
          <w:highlight w:val="none"/>
        </w:rPr>
        <w:t>管理人不得将理财</w:t>
      </w:r>
      <w:r>
        <w:rPr>
          <w:rFonts w:hint="eastAsia" w:ascii="宋体" w:hAnsi="宋体"/>
          <w:sz w:val="24"/>
          <w:highlight w:val="none"/>
        </w:rPr>
        <w:t>计划</w:t>
      </w:r>
      <w:r>
        <w:rPr>
          <w:rFonts w:ascii="宋体" w:hAnsi="宋体"/>
          <w:sz w:val="24"/>
          <w:highlight w:val="none"/>
        </w:rPr>
        <w:t>财产归入其自有资产</w:t>
      </w:r>
      <w:r>
        <w:rPr>
          <w:rFonts w:hint="eastAsia" w:ascii="宋体" w:hAnsi="宋体"/>
          <w:sz w:val="24"/>
          <w:highlight w:val="none"/>
        </w:rPr>
        <w:t>，</w:t>
      </w:r>
      <w:r>
        <w:rPr>
          <w:rFonts w:ascii="宋体" w:hAnsi="宋体"/>
          <w:sz w:val="24"/>
          <w:highlight w:val="none"/>
        </w:rPr>
        <w:t>因依法解散</w:t>
      </w:r>
      <w:r>
        <w:rPr>
          <w:rFonts w:hint="eastAsia" w:ascii="宋体" w:hAnsi="宋体"/>
          <w:sz w:val="24"/>
          <w:highlight w:val="none"/>
        </w:rPr>
        <w:t>、</w:t>
      </w:r>
      <w:r>
        <w:rPr>
          <w:rFonts w:ascii="宋体" w:hAnsi="宋体"/>
          <w:sz w:val="24"/>
          <w:highlight w:val="none"/>
        </w:rPr>
        <w:t>被依法撤销或者被依法宣告破产等原因进行清算的</w:t>
      </w:r>
      <w:r>
        <w:rPr>
          <w:rFonts w:hint="eastAsia" w:ascii="宋体" w:hAnsi="宋体"/>
          <w:sz w:val="24"/>
          <w:highlight w:val="none"/>
        </w:rPr>
        <w:t>，</w:t>
      </w:r>
      <w:r>
        <w:rPr>
          <w:rFonts w:ascii="宋体" w:hAnsi="宋体"/>
          <w:sz w:val="24"/>
          <w:highlight w:val="none"/>
        </w:rPr>
        <w:t>理财</w:t>
      </w:r>
      <w:r>
        <w:rPr>
          <w:rFonts w:hint="eastAsia" w:ascii="宋体" w:hAnsi="宋体"/>
          <w:sz w:val="24"/>
          <w:highlight w:val="none"/>
        </w:rPr>
        <w:t>计划</w:t>
      </w:r>
      <w:r>
        <w:rPr>
          <w:rFonts w:ascii="宋体" w:hAnsi="宋体"/>
          <w:sz w:val="24"/>
          <w:highlight w:val="none"/>
        </w:rPr>
        <w:t>财产不属于其清算财产</w:t>
      </w:r>
      <w:r>
        <w:rPr>
          <w:rFonts w:hint="eastAsia" w:ascii="宋体" w:hAnsi="宋体"/>
          <w:sz w:val="24"/>
          <w:highlight w:val="none"/>
        </w:rPr>
        <w:t>。</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管理人应当选择具有证券投资基金托管业务资格的金融机构、银行业理财登记托管机构或者国务院银行业监督管理机构认可的其他机构托管理财计划。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管理人</w:t>
      </w:r>
      <w:r>
        <w:rPr>
          <w:rFonts w:hint="eastAsia" w:ascii="宋体" w:hAnsi="宋体" w:cs="宋体"/>
          <w:bCs/>
          <w:color w:val="000000"/>
          <w:sz w:val="24"/>
          <w:highlight w:val="none"/>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sz w:val="24"/>
          <w:highlight w:val="none"/>
          <w:lang w:eastAsia="zh-CN"/>
        </w:rPr>
        <w:t>，</w:t>
      </w:r>
      <w:r>
        <w:rPr>
          <w:rFonts w:hint="eastAsia" w:ascii="宋体" w:hAnsi="宋体" w:cs="宋体"/>
          <w:b w:val="0"/>
          <w:bCs/>
          <w:color w:val="000000"/>
          <w:sz w:val="24"/>
          <w:highlight w:val="none"/>
          <w:lang w:val="en-US" w:eastAsia="zh-CN"/>
        </w:rPr>
        <w:t>授权使用时限与履行相关法律法规和监管要求的必要时限一致</w:t>
      </w:r>
      <w:r>
        <w:rPr>
          <w:rFonts w:hint="eastAsia" w:ascii="宋体" w:hAnsi="宋体" w:cs="宋体"/>
          <w:b w:val="0"/>
          <w:bCs/>
          <w:color w:val="000000"/>
          <w:sz w:val="24"/>
          <w:highlight w:val="none"/>
        </w:rPr>
        <w:t>。</w:t>
      </w:r>
    </w:p>
    <w:p>
      <w:pPr>
        <w:widowControl/>
        <w:numPr>
          <w:ilvl w:val="0"/>
          <w:numId w:val="76"/>
        </w:numPr>
        <w:spacing w:line="360" w:lineRule="auto"/>
        <w:contextualSpacing/>
        <w:outlineLvl w:val="9"/>
        <w:rPr>
          <w:rFonts w:ascii="宋体" w:hAnsi="宋体"/>
          <w:sz w:val="24"/>
          <w:highlight w:val="none"/>
        </w:rPr>
      </w:pPr>
      <w:r>
        <w:rPr>
          <w:rFonts w:hint="eastAsia" w:ascii="宋体" w:hAnsi="宋体"/>
          <w:sz w:val="24"/>
          <w:highlight w:val="none"/>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理财计划认（申）购、赎回及终止</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理财计划认/申购办理流程：参照《投资者权益须知》约定。 </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77"/>
        </w:numPr>
        <w:spacing w:line="360" w:lineRule="auto"/>
        <w:contextualSpacing/>
        <w:outlineLvl w:val="9"/>
        <w:rPr>
          <w:rFonts w:hint="eastAsia" w:ascii="宋体" w:hAnsi="宋体"/>
          <w:sz w:val="24"/>
          <w:highlight w:val="none"/>
        </w:rPr>
      </w:pPr>
      <w:r>
        <w:rPr>
          <w:rFonts w:hint="eastAsia" w:ascii="宋体" w:hAnsi="宋体"/>
          <w:sz w:val="24"/>
          <w:highlight w:val="none"/>
        </w:rPr>
        <w:t xml:space="preserve">理财计划投资品种、投资起点金额、收益支付方式：参照对应期次的《理财计划产品说明书》中的条款约定。 </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77"/>
        </w:numPr>
        <w:spacing w:line="360" w:lineRule="auto"/>
        <w:contextualSpacing/>
        <w:outlineLvl w:val="9"/>
        <w:rPr>
          <w:rFonts w:ascii="宋体" w:hAnsi="宋体"/>
          <w:sz w:val="24"/>
          <w:highlight w:val="none"/>
        </w:rPr>
      </w:pPr>
      <w:r>
        <w:rPr>
          <w:rFonts w:hint="eastAsia" w:ascii="宋体" w:hAnsi="宋体"/>
          <w:sz w:val="24"/>
          <w:highlight w:val="none"/>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税收处理</w:t>
      </w:r>
    </w:p>
    <w:p>
      <w:pPr>
        <w:widowControl/>
        <w:spacing w:line="360" w:lineRule="auto"/>
        <w:ind w:firstLine="480" w:firstLineChars="200"/>
        <w:contextualSpacing/>
        <w:rPr>
          <w:rFonts w:hint="eastAsia" w:ascii="宋体" w:hAnsi="宋体"/>
          <w:sz w:val="24"/>
          <w:highlight w:val="none"/>
        </w:rPr>
      </w:pPr>
      <w:r>
        <w:rPr>
          <w:rFonts w:hint="eastAsia" w:ascii="宋体" w:hAnsi="宋体"/>
          <w:sz w:val="24"/>
          <w:highlight w:val="none"/>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违约责任及免责条款</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若因投资人原因导致司法或行政机构采取强制措施对其理财本金、收益进行部分或全部被扣划，均视投资者本人就全部理财本金违约进行了提前</w:t>
      </w:r>
      <w:r>
        <w:rPr>
          <w:rFonts w:hint="eastAsia" w:ascii="宋体" w:hAnsi="宋体"/>
          <w:sz w:val="24"/>
          <w:highlight w:val="none"/>
          <w:lang w:eastAsia="zh-CN"/>
        </w:rPr>
        <w:t>赎回</w:t>
      </w:r>
      <w:r>
        <w:rPr>
          <w:rFonts w:hint="eastAsia" w:ascii="宋体" w:hAnsi="宋体"/>
          <w:sz w:val="24"/>
          <w:highlight w:val="none"/>
        </w:rPr>
        <w:t>，本合同自动终止。因提前终止而产生的损失及相关费用由投资者承担。本合同前述情况终止的，理财本金不计付</w:t>
      </w:r>
      <w:r>
        <w:rPr>
          <w:rFonts w:hint="eastAsia" w:ascii="宋体" w:hAnsi="宋体"/>
          <w:sz w:val="24"/>
          <w:highlight w:val="none"/>
          <w:lang w:eastAsia="zh-CN"/>
        </w:rPr>
        <w:t>赎回</w:t>
      </w:r>
      <w:r>
        <w:rPr>
          <w:rFonts w:hint="eastAsia" w:ascii="宋体" w:hAnsi="宋体"/>
          <w:sz w:val="24"/>
          <w:highlight w:val="none"/>
        </w:rPr>
        <w:t>日前的理财收益，也不计付存款利息。</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78"/>
        </w:numPr>
        <w:spacing w:line="360" w:lineRule="auto"/>
        <w:contextualSpacing/>
        <w:outlineLvl w:val="9"/>
        <w:rPr>
          <w:rFonts w:ascii="宋体" w:hAnsi="宋体"/>
          <w:sz w:val="24"/>
          <w:highlight w:val="none"/>
        </w:rPr>
      </w:pPr>
      <w:r>
        <w:rPr>
          <w:rFonts w:hint="eastAsia" w:ascii="宋体" w:hAnsi="宋体"/>
          <w:sz w:val="24"/>
          <w:highlight w:val="none"/>
        </w:rPr>
        <w:t>若由于管理人过错导致理财计划资产发生损失，管理人应按其过错承担赔偿责任，管理人赔偿的款项计入本理财计划的资产和收益，由所有投资者按理财本金比例分配。</w:t>
      </w:r>
    </w:p>
    <w:p>
      <w:pPr>
        <w:widowControl/>
        <w:numPr>
          <w:ilvl w:val="0"/>
          <w:numId w:val="78"/>
        </w:numPr>
        <w:spacing w:line="360" w:lineRule="auto"/>
        <w:contextualSpacing/>
        <w:outlineLvl w:val="9"/>
        <w:rPr>
          <w:rFonts w:hint="eastAsia" w:ascii="宋体" w:hAnsi="宋体"/>
          <w:sz w:val="24"/>
          <w:highlight w:val="none"/>
        </w:rPr>
      </w:pPr>
      <w:r>
        <w:rPr>
          <w:rFonts w:hint="eastAsia" w:ascii="宋体" w:hAnsi="宋体"/>
          <w:sz w:val="24"/>
          <w:highlight w:val="none"/>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78"/>
        </w:numPr>
        <w:spacing w:line="360" w:lineRule="auto"/>
        <w:contextualSpacing/>
        <w:outlineLvl w:val="9"/>
        <w:rPr>
          <w:rFonts w:hint="eastAsia" w:ascii="宋体" w:hAnsi="宋体"/>
          <w:sz w:val="24"/>
          <w:highlight w:val="none"/>
        </w:rPr>
      </w:pPr>
      <w:r>
        <w:rPr>
          <w:rFonts w:hint="eastAsia" w:ascii="宋体" w:hAnsi="宋体"/>
          <w:sz w:val="24"/>
          <w:highlight w:val="none"/>
        </w:rPr>
        <w:t>因国家有关法律、法规、规章、政策的修改或新的法律、法规、规章、政策颁布以及紧急措施的出台导致的风险及损失，管理人不承担责任。</w:t>
      </w:r>
    </w:p>
    <w:p>
      <w:pPr>
        <w:widowControl/>
        <w:numPr>
          <w:ilvl w:val="0"/>
          <w:numId w:val="78"/>
        </w:numPr>
        <w:spacing w:line="360" w:lineRule="auto"/>
        <w:contextualSpacing/>
        <w:outlineLvl w:val="9"/>
        <w:rPr>
          <w:rFonts w:hint="eastAsia" w:ascii="宋体" w:hAnsi="宋体"/>
          <w:sz w:val="24"/>
          <w:highlight w:val="none"/>
        </w:rPr>
      </w:pPr>
      <w:r>
        <w:rPr>
          <w:rFonts w:hint="eastAsia" w:ascii="宋体" w:hAnsi="宋体"/>
          <w:sz w:val="24"/>
          <w:highlight w:val="none"/>
        </w:rPr>
        <w:t>管理人若严格按照产品说明书相关规定进行投资运作，给投资者造成损失的，应免除管理人责任。</w:t>
      </w:r>
    </w:p>
    <w:p>
      <w:pPr>
        <w:widowControl/>
        <w:spacing w:line="360" w:lineRule="auto"/>
        <w:contextualSpacing/>
        <w:rPr>
          <w:rFonts w:ascii="宋体" w:hAnsi="宋体"/>
          <w:sz w:val="24"/>
          <w:highlight w:val="none"/>
        </w:rPr>
      </w:pPr>
    </w:p>
    <w:p>
      <w:pPr>
        <w:numPr>
          <w:ilvl w:val="0"/>
          <w:numId w:val="74"/>
        </w:numPr>
        <w:spacing w:line="360" w:lineRule="auto"/>
        <w:ind w:firstLine="482" w:firstLineChars="200"/>
        <w:outlineLvl w:val="9"/>
        <w:rPr>
          <w:b/>
          <w:sz w:val="24"/>
          <w:highlight w:val="none"/>
        </w:rPr>
      </w:pPr>
      <w:r>
        <w:rPr>
          <w:rFonts w:hint="eastAsia"/>
          <w:b/>
          <w:sz w:val="24"/>
          <w:highlight w:val="none"/>
        </w:rPr>
        <w:t>适用法律与争议解决</w:t>
      </w:r>
    </w:p>
    <w:p>
      <w:pPr>
        <w:widowControl/>
        <w:spacing w:line="360" w:lineRule="auto"/>
        <w:ind w:firstLine="480" w:firstLineChars="200"/>
        <w:contextualSpacing/>
        <w:rPr>
          <w:rFonts w:ascii="宋体" w:hAnsi="宋体"/>
          <w:sz w:val="24"/>
          <w:highlight w:val="none"/>
        </w:rPr>
      </w:pPr>
      <w:r>
        <w:rPr>
          <w:rFonts w:hint="eastAsia" w:ascii="宋体" w:hAnsi="宋体"/>
          <w:sz w:val="24"/>
          <w:highlight w:val="none"/>
        </w:rPr>
        <w:t>本合同适用</w:t>
      </w:r>
      <w:r>
        <w:rPr>
          <w:rFonts w:hint="eastAsia" w:ascii="宋体" w:hAnsi="宋体" w:cs="宋体"/>
          <w:bCs/>
          <w:color w:val="000000"/>
          <w:sz w:val="24"/>
          <w:highlight w:val="none"/>
        </w:rPr>
        <w:t>中华人民共和国（仅为明确本合同适用法律规则，不含香港特别行政区、澳门特别行政区及中国台湾地区）</w:t>
      </w:r>
      <w:r>
        <w:rPr>
          <w:rFonts w:hint="eastAsia" w:ascii="宋体" w:hAnsi="宋体"/>
          <w:sz w:val="24"/>
          <w:highlight w:val="none"/>
        </w:rPr>
        <w:t>的法律和行政法规。本合同项下的及与之有关的一切争议，投资者与管理人双方应首先协商解决，协商不成的，应提交</w:t>
      </w:r>
      <w:r>
        <w:rPr>
          <w:rFonts w:hint="eastAsia" w:ascii="宋体" w:hAnsi="宋体"/>
          <w:sz w:val="24"/>
          <w:highlight w:val="none"/>
          <w:lang w:val="en-US" w:eastAsia="zh-CN"/>
        </w:rPr>
        <w:t>被告人</w:t>
      </w:r>
      <w:r>
        <w:rPr>
          <w:rFonts w:hint="eastAsia" w:ascii="宋体" w:hAnsi="宋体"/>
          <w:sz w:val="24"/>
          <w:highlight w:val="none"/>
        </w:rPr>
        <w:t>所在地人民法院司法裁决。诉讼期间，未涉及争议的条款仍需继续履行。</w:t>
      </w:r>
    </w:p>
    <w:p>
      <w:pPr>
        <w:spacing w:line="360" w:lineRule="auto"/>
        <w:ind w:left="482"/>
        <w:rPr>
          <w:b/>
          <w:sz w:val="24"/>
          <w:highlight w:val="none"/>
        </w:rPr>
      </w:pPr>
    </w:p>
    <w:p>
      <w:pPr>
        <w:numPr>
          <w:ilvl w:val="0"/>
          <w:numId w:val="74"/>
        </w:numPr>
        <w:spacing w:line="360" w:lineRule="auto"/>
        <w:ind w:firstLine="482" w:firstLineChars="200"/>
        <w:outlineLvl w:val="9"/>
        <w:rPr>
          <w:rFonts w:hint="eastAsia"/>
          <w:b/>
          <w:sz w:val="24"/>
          <w:highlight w:val="none"/>
        </w:rPr>
      </w:pPr>
      <w:r>
        <w:rPr>
          <w:rFonts w:hint="eastAsia"/>
          <w:b/>
          <w:sz w:val="24"/>
          <w:highlight w:val="none"/>
        </w:rPr>
        <w:t>协议生效和终止</w:t>
      </w:r>
    </w:p>
    <w:p>
      <w:pPr>
        <w:widowControl/>
        <w:numPr>
          <w:ilvl w:val="0"/>
          <w:numId w:val="79"/>
        </w:numPr>
        <w:spacing w:line="360" w:lineRule="auto"/>
        <w:contextualSpacing/>
        <w:outlineLvl w:val="9"/>
        <w:rPr>
          <w:rFonts w:ascii="宋体" w:hAnsi="宋体"/>
          <w:sz w:val="24"/>
          <w:highlight w:val="none"/>
        </w:rPr>
      </w:pPr>
      <w:r>
        <w:rPr>
          <w:rFonts w:hint="eastAsia" w:ascii="宋体" w:hAnsi="宋体"/>
          <w:sz w:val="24"/>
          <w:highlight w:val="none"/>
        </w:rPr>
        <w:t xml:space="preserve">投资者和管理人双方认可本协议可以纸质或电子数据等形式提交、订立或确认。 </w:t>
      </w:r>
    </w:p>
    <w:p>
      <w:pPr>
        <w:widowControl/>
        <w:numPr>
          <w:ilvl w:val="0"/>
          <w:numId w:val="79"/>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本协议书以纸质书面形式订立的，自投资者</w:t>
      </w:r>
      <w:r>
        <w:rPr>
          <w:rFonts w:hint="eastAsia" w:ascii="宋体" w:hAnsi="宋体"/>
          <w:sz w:val="24"/>
          <w:highlight w:val="none"/>
          <w:lang w:val="en-US" w:eastAsia="zh-CN"/>
        </w:rPr>
        <w:t>签署（如投资者为个人，应签字；如投资者为机构，应法定代表人或授权代理人签字或盖章并加盖公章或有效授权印章）并经管理人系统确认购买理财计划份额</w:t>
      </w:r>
      <w:r>
        <w:rPr>
          <w:rFonts w:hint="eastAsia" w:ascii="宋体" w:hAnsi="宋体"/>
          <w:sz w:val="24"/>
          <w:highlight w:val="none"/>
        </w:rPr>
        <w:t>之后立即生效。协议一式</w:t>
      </w:r>
      <w:r>
        <w:rPr>
          <w:rFonts w:hint="eastAsia" w:ascii="宋体" w:hAnsi="宋体"/>
          <w:sz w:val="24"/>
          <w:highlight w:val="none"/>
          <w:lang w:eastAsia="zh-CN"/>
        </w:rPr>
        <w:t>贰</w:t>
      </w:r>
      <w:r>
        <w:rPr>
          <w:rFonts w:hint="eastAsia" w:ascii="宋体" w:hAnsi="宋体"/>
          <w:sz w:val="24"/>
          <w:highlight w:val="none"/>
        </w:rPr>
        <w:t>份，投资者和管理人双方各执</w:t>
      </w:r>
      <w:r>
        <w:rPr>
          <w:rFonts w:hint="eastAsia" w:ascii="宋体" w:hAnsi="宋体"/>
          <w:sz w:val="24"/>
          <w:highlight w:val="none"/>
          <w:lang w:eastAsia="zh-CN"/>
        </w:rPr>
        <w:t>壹</w:t>
      </w:r>
      <w:r>
        <w:rPr>
          <w:rFonts w:hint="eastAsia" w:ascii="宋体" w:hAnsi="宋体"/>
          <w:sz w:val="24"/>
          <w:highlight w:val="none"/>
        </w:rPr>
        <w:t xml:space="preserve">份，具有同等法律效力。 </w:t>
      </w:r>
    </w:p>
    <w:p>
      <w:pPr>
        <w:widowControl/>
        <w:numPr>
          <w:ilvl w:val="0"/>
          <w:numId w:val="79"/>
        </w:numPr>
        <w:spacing w:line="360" w:lineRule="auto"/>
        <w:contextualSpacing/>
        <w:outlineLvl w:val="9"/>
        <w:rPr>
          <w:rFonts w:hint="eastAsia" w:ascii="宋体" w:hAnsi="宋体"/>
          <w:sz w:val="24"/>
          <w:highlight w:val="none"/>
        </w:rPr>
      </w:pPr>
      <w:r>
        <w:rPr>
          <w:rFonts w:hint="eastAsia" w:ascii="宋体" w:hAnsi="宋体"/>
          <w:sz w:val="24"/>
          <w:highlight w:val="none"/>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79"/>
        </w:numPr>
        <w:spacing w:line="360" w:lineRule="auto"/>
        <w:contextualSpacing/>
        <w:outlineLvl w:val="9"/>
        <w:rPr>
          <w:rFonts w:hint="eastAsia" w:ascii="宋体" w:hAnsi="宋体"/>
          <w:sz w:val="24"/>
          <w:highlight w:val="none"/>
        </w:rPr>
      </w:pPr>
      <w:r>
        <w:rPr>
          <w:rFonts w:hint="eastAsia" w:ascii="宋体" w:hAnsi="宋体"/>
          <w:sz w:val="24"/>
          <w:highlight w:val="none"/>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sz w:val="24"/>
          <w:highlight w:val="none"/>
        </w:rPr>
      </w:pPr>
    </w:p>
    <w:p>
      <w:pPr>
        <w:numPr>
          <w:ilvl w:val="0"/>
          <w:numId w:val="74"/>
        </w:numPr>
        <w:spacing w:line="360" w:lineRule="auto"/>
        <w:ind w:firstLine="482" w:firstLineChars="200"/>
        <w:outlineLvl w:val="9"/>
        <w:rPr>
          <w:b/>
          <w:sz w:val="24"/>
          <w:highlight w:val="none"/>
        </w:rPr>
      </w:pPr>
      <w:r>
        <w:rPr>
          <w:rFonts w:hint="eastAsia"/>
          <w:b/>
          <w:sz w:val="24"/>
          <w:highlight w:val="none"/>
        </w:rPr>
        <w:t>附则</w:t>
      </w:r>
    </w:p>
    <w:p>
      <w:pPr>
        <w:widowControl/>
        <w:numPr>
          <w:ilvl w:val="0"/>
          <w:numId w:val="80"/>
        </w:numPr>
        <w:spacing w:line="360" w:lineRule="auto"/>
        <w:contextualSpacing/>
        <w:outlineLvl w:val="9"/>
        <w:rPr>
          <w:rFonts w:ascii="宋体" w:hAnsi="宋体"/>
          <w:sz w:val="24"/>
          <w:highlight w:val="none"/>
        </w:rPr>
      </w:pPr>
      <w:r>
        <w:rPr>
          <w:rFonts w:hint="eastAsia" w:ascii="宋体" w:hAnsi="宋体"/>
          <w:sz w:val="24"/>
          <w:highlight w:val="none"/>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80"/>
        </w:numPr>
        <w:spacing w:line="360" w:lineRule="auto"/>
        <w:contextualSpacing/>
        <w:outlineLvl w:val="9"/>
        <w:rPr>
          <w:rFonts w:ascii="宋体" w:hAnsi="宋体"/>
          <w:sz w:val="24"/>
          <w:highlight w:val="none"/>
        </w:rPr>
      </w:pPr>
      <w:r>
        <w:rPr>
          <w:rFonts w:hint="eastAsia" w:ascii="宋体" w:hAnsi="宋体"/>
          <w:sz w:val="24"/>
          <w:highlight w:val="none"/>
        </w:rPr>
        <w:t>如果由于任何原因使本合同下的任何条款或内容成为无效或被依法撤销，本合同其他条款或内容的合法性、有效性和可执行性不受影响。</w:t>
      </w:r>
    </w:p>
    <w:p>
      <w:pPr>
        <w:widowControl/>
        <w:numPr>
          <w:ilvl w:val="0"/>
          <w:numId w:val="80"/>
        </w:numPr>
        <w:spacing w:line="360" w:lineRule="auto"/>
        <w:contextualSpacing/>
        <w:outlineLvl w:val="9"/>
        <w:rPr>
          <w:rFonts w:ascii="宋体" w:hAnsi="宋体"/>
          <w:sz w:val="24"/>
          <w:highlight w:val="none"/>
        </w:rPr>
      </w:pPr>
      <w:r>
        <w:rPr>
          <w:rFonts w:hint="eastAsia" w:ascii="宋体" w:hAnsi="宋体"/>
          <w:sz w:val="24"/>
          <w:highlight w:val="none"/>
        </w:rPr>
        <w:t>在理财计划存续期内，如因监管政策或法律法规发生变化，在不损害投资者利益的前提下，管理人有权单方对理财计划合同进行修订。</w:t>
      </w:r>
    </w:p>
    <w:p>
      <w:pPr>
        <w:spacing w:line="360" w:lineRule="auto"/>
        <w:rPr>
          <w:rFonts w:ascii="宋体" w:hAnsi="宋体" w:cs="宋体"/>
          <w:bCs/>
          <w:color w:val="000000"/>
          <w:sz w:val="24"/>
          <w:highlight w:val="none"/>
        </w:rPr>
      </w:pPr>
    </w:p>
    <w:p>
      <w:pPr>
        <w:spacing w:line="360" w:lineRule="auto"/>
        <w:rPr>
          <w:rFonts w:ascii="宋体" w:hAnsi="宋体" w:cs="宋体"/>
          <w:bCs/>
          <w:color w:val="000000"/>
          <w:sz w:val="24"/>
          <w:highlight w:val="none"/>
        </w:rPr>
      </w:pPr>
    </w:p>
    <w:p>
      <w:pPr>
        <w:pStyle w:val="9"/>
        <w:widowControl/>
        <w:spacing w:line="360" w:lineRule="auto"/>
        <w:jc w:val="right"/>
        <w:rPr>
          <w:rFonts w:ascii="宋体" w:hAnsi="宋体" w:cs="宋体"/>
          <w:bCs/>
          <w:color w:val="000000"/>
          <w:sz w:val="24"/>
          <w:highlight w:val="none"/>
        </w:rPr>
      </w:pPr>
      <w:r>
        <w:rPr>
          <w:rFonts w:hint="eastAsia" w:ascii="宋体" w:hAnsi="宋体" w:cs="宋体"/>
          <w:kern w:val="0"/>
          <w:highlight w:val="none"/>
        </w:rPr>
        <w:t>杭银理财有限责任公司</w:t>
      </w:r>
    </w:p>
    <w:p>
      <w:pPr>
        <w:pageBreakBefore/>
        <w:widowControl/>
        <w:spacing w:line="360" w:lineRule="auto"/>
        <w:rPr>
          <w:rFonts w:ascii="宋体" w:hAnsi="宋体"/>
          <w:sz w:val="24"/>
          <w:highlight w:val="none"/>
        </w:rPr>
      </w:pPr>
      <w:r>
        <w:rPr>
          <w:rFonts w:hint="eastAsia" w:ascii="宋体" w:hAnsi="宋体"/>
          <w:sz w:val="24"/>
          <w:highlight w:val="none"/>
        </w:rPr>
        <w:t>本页为纸质形式（如有）</w:t>
      </w:r>
      <w:r>
        <w:rPr>
          <w:rFonts w:hint="eastAsia" w:ascii="宋体" w:hAnsi="宋体"/>
          <w:sz w:val="24"/>
          <w:highlight w:val="none"/>
          <w:lang w:val="en-US" w:eastAsia="zh-CN"/>
        </w:rPr>
        <w:t>投资</w:t>
      </w:r>
      <w:r>
        <w:rPr>
          <w:rFonts w:hint="eastAsia" w:ascii="宋体" w:hAnsi="宋体"/>
          <w:sz w:val="24"/>
          <w:highlight w:val="none"/>
        </w:rPr>
        <w:t>协议书签章页</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hint="eastAsia" w:ascii="宋体" w:hAnsi="宋体"/>
          <w:b/>
          <w:bCs/>
          <w:sz w:val="24"/>
          <w:highlight w:val="none"/>
        </w:rPr>
      </w:pPr>
      <w:r>
        <w:rPr>
          <w:rFonts w:hint="eastAsia" w:ascii="宋体" w:hAnsi="宋体"/>
          <w:b/>
          <w:bCs/>
          <w:sz w:val="24"/>
          <w:highlight w:val="none"/>
        </w:rPr>
        <w:t>投资者（签字</w:t>
      </w:r>
      <w:r>
        <w:rPr>
          <w:rFonts w:hint="eastAsia" w:ascii="宋体" w:hAnsi="宋体" w:eastAsia="宋体" w:cs="黑体"/>
          <w:b/>
          <w:bCs/>
          <w:sz w:val="24"/>
          <w:highlight w:val="none"/>
          <w:lang w:eastAsia="zh-CN"/>
        </w:rPr>
        <w:t>或签章</w:t>
      </w:r>
      <w:r>
        <w:rPr>
          <w:rFonts w:hint="eastAsia" w:ascii="宋体" w:hAnsi="宋体"/>
          <w:b/>
          <w:bCs/>
          <w:sz w:val="24"/>
          <w:highlight w:val="none"/>
        </w:rPr>
        <w:t>）：</w:t>
      </w:r>
    </w:p>
    <w:p>
      <w:pPr>
        <w:spacing w:line="360" w:lineRule="auto"/>
        <w:rPr>
          <w:rFonts w:hint="eastAsia" w:ascii="宋体" w:hAnsi="宋体"/>
          <w:b/>
          <w:bCs/>
          <w:sz w:val="24"/>
          <w:highlight w:val="none"/>
        </w:rPr>
      </w:pPr>
    </w:p>
    <w:p>
      <w:pPr>
        <w:spacing w:line="360" w:lineRule="auto"/>
        <w:rPr>
          <w:rFonts w:hint="eastAsia" w:ascii="宋体" w:hAnsi="宋体"/>
          <w:b/>
          <w:bCs/>
          <w:sz w:val="24"/>
          <w:highlight w:val="none"/>
        </w:rPr>
      </w:pP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jc w:val="both"/>
        <w:outlineLvl w:val="9"/>
        <w:rPr>
          <w:rFonts w:hint="eastAsia" w:ascii="Calibri" w:hAnsi="Calibri" w:eastAsia="宋体" w:cs="黑体"/>
          <w:b/>
          <w:bCs w:val="0"/>
          <w:sz w:val="44"/>
          <w:szCs w:val="44"/>
          <w:highlight w:val="none"/>
          <w:lang w:val="en-US" w:eastAsia="zh-CN"/>
        </w:rPr>
      </w:pPr>
    </w:p>
    <w:p>
      <w:pPr>
        <w:jc w:val="center"/>
        <w:outlineLvl w:val="9"/>
        <w:rPr>
          <w:rFonts w:hint="eastAsia" w:ascii="Calibri" w:hAnsi="Calibri" w:eastAsia="宋体" w:cs="黑体"/>
          <w:b/>
          <w:bCs w:val="0"/>
          <w:sz w:val="44"/>
          <w:szCs w:val="44"/>
          <w:highlight w:val="none"/>
          <w:lang w:val="en-US" w:eastAsia="zh-CN"/>
        </w:rPr>
      </w:pPr>
    </w:p>
    <w:p>
      <w:pPr>
        <w:spacing w:line="360" w:lineRule="auto"/>
        <w:rPr>
          <w:rFonts w:ascii="宋体" w:hAnsi="宋体" w:cs="宋体"/>
          <w:bCs/>
          <w:color w:val="000000"/>
          <w:sz w:val="24"/>
        </w:rPr>
      </w:pPr>
    </w:p>
    <w:p>
      <w:pPr>
        <w:rPr>
          <w:rFonts w:ascii="宋体" w:hAnsi="宋体" w:cs="宋体"/>
          <w:bCs/>
          <w:color w:val="000000"/>
          <w:sz w:val="24"/>
          <w:highlight w:val="none"/>
        </w:rPr>
      </w:pPr>
      <w:r>
        <w:rPr>
          <w:rFonts w:ascii="宋体" w:hAnsi="宋体" w:cs="宋体"/>
          <w:bCs/>
          <w:color w:val="000000"/>
          <w:sz w:val="24"/>
          <w:highlight w:val="none"/>
        </w:rPr>
        <w:br w:type="page"/>
      </w:r>
    </w:p>
    <w:p>
      <w:pPr>
        <w:pageBreakBefore/>
        <w:widowControl/>
        <w:spacing w:line="120" w:lineRule="auto"/>
        <w:jc w:val="center"/>
        <w:outlineLvl w:val="9"/>
        <w:rPr>
          <w:rFonts w:hint="eastAsia" w:ascii="Calibri" w:hAnsi="Calibri" w:eastAsia="宋体" w:cs="黑体"/>
          <w:b/>
          <w:bCs w:val="0"/>
          <w:sz w:val="44"/>
          <w:szCs w:val="44"/>
          <w:highlight w:val="none"/>
        </w:rPr>
      </w:pPr>
      <w:r>
        <w:rPr>
          <w:rFonts w:hint="eastAsia" w:ascii="Calibri" w:hAnsi="Calibri" w:eastAsia="宋体" w:cs="黑体"/>
          <w:b/>
          <w:bCs w:val="0"/>
          <w:sz w:val="44"/>
          <w:szCs w:val="44"/>
          <w:highlight w:val="none"/>
          <w:lang w:val="en-US" w:eastAsia="zh-CN"/>
        </w:rPr>
        <w:t>杭银理财理财计划</w:t>
      </w:r>
      <w:r>
        <w:rPr>
          <w:rFonts w:hint="eastAsia" w:ascii="Calibri" w:hAnsi="Calibri" w:eastAsia="宋体" w:cs="黑体"/>
          <w:b/>
          <w:bCs w:val="0"/>
          <w:sz w:val="44"/>
          <w:szCs w:val="44"/>
          <w:highlight w:val="none"/>
        </w:rPr>
        <w:t>销售协议书</w:t>
      </w:r>
    </w:p>
    <w:p>
      <w:pPr>
        <w:jc w:val="center"/>
        <w:rPr>
          <w:rFonts w:hint="eastAsia" w:ascii="宋体" w:hAnsi="宋体" w:eastAsia="宋体" w:cs="宋体"/>
          <w:b w:val="0"/>
          <w:bCs w:val="0"/>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202502</w:t>
      </w:r>
      <w:r>
        <w:rPr>
          <w:rFonts w:hint="eastAsia" w:ascii="宋体" w:hAnsi="宋体" w:eastAsia="宋体" w:cs="宋体"/>
          <w:sz w:val="28"/>
          <w:szCs w:val="28"/>
          <w:highlight w:val="none"/>
        </w:rPr>
        <w:t>版）</w:t>
      </w:r>
    </w:p>
    <w:p>
      <w:pPr>
        <w:spacing w:line="360" w:lineRule="auto"/>
        <w:jc w:val="center"/>
        <w:rPr>
          <w:rFonts w:hint="default"/>
          <w:sz w:val="32"/>
          <w:szCs w:val="40"/>
          <w:highlight w:val="none"/>
          <w:lang w:val="en-US" w:eastAsia="zh-CN"/>
        </w:rPr>
      </w:pPr>
      <w:r>
        <w:rPr>
          <w:rFonts w:hint="eastAsia" w:ascii="宋体" w:hAnsi="宋体" w:cs="宋体"/>
          <w:b/>
          <w:bCs/>
          <w:sz w:val="24"/>
          <w:highlight w:val="none"/>
          <w:u w:val="single"/>
        </w:rPr>
        <w:t>理财非存款、产品有风险、投资须谨慎</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黑体"/>
          <w:b/>
          <w:bCs/>
          <w:sz w:val="24"/>
          <w:highlight w:val="none"/>
        </w:rPr>
      </w:pPr>
      <w:r>
        <w:rPr>
          <w:rFonts w:hint="eastAsia" w:ascii="Calibri" w:hAnsi="Calibri" w:eastAsia="宋体" w:cs="黑体"/>
          <w:b/>
          <w:bCs/>
          <w:sz w:val="24"/>
          <w:highlight w:val="none"/>
        </w:rPr>
        <w:t>特别提示：</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rPr>
        <w:t>杭银理财</w:t>
      </w:r>
      <w:r>
        <w:rPr>
          <w:rFonts w:hint="eastAsia" w:ascii="Calibri" w:hAnsi="Calibri" w:eastAsia="宋体" w:cs="黑体"/>
          <w:b/>
          <w:bCs/>
          <w:sz w:val="24"/>
          <w:highlight w:val="none"/>
          <w:lang w:val="en-US" w:eastAsia="zh-CN"/>
        </w:rPr>
        <w:t>理财计划销售协议书</w:t>
      </w:r>
      <w:r>
        <w:rPr>
          <w:rFonts w:hint="eastAsia" w:ascii="宋体" w:hAnsi="宋体" w:eastAsia="宋体" w:cs="宋体"/>
          <w:b/>
          <w:bCs/>
          <w:sz w:val="24"/>
          <w:highlight w:val="none"/>
          <w:lang w:val="en-US" w:eastAsia="zh-CN"/>
        </w:rPr>
        <w:t>（202502</w:t>
      </w:r>
      <w:r>
        <w:rPr>
          <w:rFonts w:hint="eastAsia" w:ascii="Calibri" w:hAnsi="Calibri" w:eastAsia="宋体" w:cs="黑体"/>
          <w:b/>
          <w:bCs/>
          <w:sz w:val="24"/>
          <w:highlight w:val="none"/>
          <w:lang w:val="en-US" w:eastAsia="zh-CN"/>
        </w:rPr>
        <w:t>版）</w:t>
      </w:r>
      <w:r>
        <w:rPr>
          <w:rFonts w:hint="eastAsia" w:ascii="Calibri" w:hAnsi="Calibri" w:eastAsia="宋体" w:cs="黑体"/>
          <w:b/>
          <w:bCs/>
          <w:sz w:val="24"/>
          <w:highlight w:val="none"/>
          <w:lang w:eastAsia="zh-CN"/>
        </w:rPr>
        <w:t>》</w:t>
      </w:r>
      <w:r>
        <w:rPr>
          <w:rFonts w:hint="eastAsia" w:ascii="Calibri" w:hAnsi="Calibri" w:eastAsia="宋体" w:cs="黑体"/>
          <w:b/>
          <w:bCs/>
          <w:sz w:val="24"/>
          <w:highlight w:val="none"/>
          <w:lang w:val="en-US" w:eastAsia="zh-CN"/>
        </w:rPr>
        <w:t>与对应期次的</w:t>
      </w:r>
      <w:r>
        <w:rPr>
          <w:rFonts w:hint="eastAsia" w:eastAsia="宋体" w:cs="黑体"/>
          <w:b/>
          <w:bCs/>
          <w:sz w:val="24"/>
          <w:highlight w:val="none"/>
          <w:lang w:val="en-US" w:eastAsia="zh-CN"/>
        </w:rPr>
        <w:t>理财计划风险揭示书、理财计划产品说明书、投资者权益须知及</w:t>
      </w:r>
      <w:r>
        <w:rPr>
          <w:rFonts w:hint="eastAsia" w:ascii="Calibri" w:hAnsi="Calibri" w:eastAsia="宋体" w:cs="黑体"/>
          <w:b/>
          <w:bCs/>
          <w:sz w:val="24"/>
          <w:highlight w:val="none"/>
        </w:rPr>
        <w:t>理财计划投资协议书共同构成完整且不可分割的理财计划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。杭银理财有限责任公司（以下简称“杭银理财”）建议投资者在购买理财计划前认真阅读</w:t>
      </w:r>
      <w:r>
        <w:rPr>
          <w:rFonts w:hint="eastAsia" w:ascii="Calibri" w:hAnsi="Calibri" w:eastAsia="宋体" w:cs="黑体"/>
          <w:b/>
          <w:bCs/>
          <w:sz w:val="24"/>
          <w:highlight w:val="none"/>
          <w:lang w:val="en-US" w:eastAsia="zh-CN"/>
        </w:rPr>
        <w:t>全套</w:t>
      </w:r>
      <w:r>
        <w:rPr>
          <w:rFonts w:hint="eastAsia" w:ascii="Calibri" w:hAnsi="Calibri" w:eastAsia="宋体" w:cs="黑体"/>
          <w:b/>
          <w:bCs/>
          <w:sz w:val="24"/>
          <w:highlight w:val="none"/>
        </w:rPr>
        <w:t>理财计划</w:t>
      </w:r>
      <w:r>
        <w:rPr>
          <w:rFonts w:hint="eastAsia" w:ascii="Calibri" w:hAnsi="Calibri" w:eastAsia="宋体" w:cs="黑体"/>
          <w:b/>
          <w:bCs/>
          <w:sz w:val="24"/>
          <w:highlight w:val="none"/>
          <w:lang w:val="en-US" w:eastAsia="zh-CN"/>
        </w:rPr>
        <w:t>合同</w:t>
      </w:r>
      <w:r>
        <w:rPr>
          <w:rFonts w:hint="eastAsia" w:ascii="Calibri" w:hAnsi="Calibri" w:eastAsia="宋体" w:cs="黑体"/>
          <w:b/>
          <w:bCs/>
          <w:sz w:val="24"/>
          <w:highlight w:val="none"/>
        </w:rPr>
        <w:t>，投资者签署</w:t>
      </w:r>
      <w:r>
        <w:rPr>
          <w:rFonts w:hint="eastAsia" w:ascii="Calibri" w:hAnsi="Calibri" w:eastAsia="宋体" w:cs="黑体"/>
          <w:b/>
          <w:bCs/>
          <w:sz w:val="24"/>
          <w:highlight w:val="none"/>
          <w:lang w:val="en-US" w:eastAsia="zh-CN"/>
        </w:rPr>
        <w:t>本</w:t>
      </w:r>
      <w:r>
        <w:rPr>
          <w:rFonts w:hint="eastAsia" w:ascii="Calibri" w:hAnsi="Calibri" w:eastAsia="宋体" w:cs="黑体"/>
          <w:b/>
          <w:bCs/>
          <w:sz w:val="24"/>
          <w:highlight w:val="none"/>
        </w:rPr>
        <w:t>协议书（含电子渠道签署）即视为已详细阅读理财计划合同并知悉相关风险，自愿投资购买理财计划、遵守合同约定并承担相应风险。</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Calibri" w:hAnsi="Calibri" w:eastAsia="宋体" w:cs="黑体"/>
          <w:b/>
          <w:bCs/>
          <w:sz w:val="24"/>
          <w:highlight w:val="none"/>
          <w:lang w:val="en-US" w:eastAsia="zh-CN"/>
        </w:rPr>
      </w:pPr>
      <w:r>
        <w:rPr>
          <w:rFonts w:hint="eastAsia" w:ascii="Calibri" w:hAnsi="Calibri" w:eastAsia="宋体" w:cs="黑体"/>
          <w:b/>
          <w:bCs/>
          <w:sz w:val="24"/>
          <w:highlight w:val="none"/>
          <w:lang w:val="en-US" w:eastAsia="zh-CN"/>
        </w:rPr>
        <w:t>理财非存款、产品有风险、投资须谨慎，理财计划过往业绩不代表其未来表现，不等于理财计划实际收益。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理财计划销售的相关法律主体为发行理财计划的理财公司、</w:t>
      </w:r>
      <w:r>
        <w:rPr>
          <w:rFonts w:hint="eastAsia" w:eastAsia="宋体" w:cs="黑体"/>
          <w:sz w:val="24"/>
          <w:highlight w:val="none"/>
          <w:lang w:val="en-US" w:eastAsia="zh-CN"/>
        </w:rPr>
        <w:t>理财公司自有销售渠道以及</w:t>
      </w:r>
      <w:r>
        <w:rPr>
          <w:rFonts w:hint="eastAsia" w:ascii="Calibri" w:hAnsi="Calibri" w:eastAsia="宋体" w:cs="黑体"/>
          <w:sz w:val="24"/>
          <w:highlight w:val="none"/>
          <w:lang w:val="en-US" w:eastAsia="zh-CN"/>
        </w:rPr>
        <w:t>接受理财公司委托销售其发行理财计划的代理销售机构（以下简称“销售机构”）和投资者三方。理财公司是理财计划的设计发行方与管理人，</w:t>
      </w:r>
      <w:r>
        <w:rPr>
          <w:rFonts w:hint="eastAsia" w:eastAsia="宋体" w:cs="黑体"/>
          <w:sz w:val="24"/>
          <w:highlight w:val="none"/>
          <w:lang w:val="en-US" w:eastAsia="zh-CN"/>
        </w:rPr>
        <w:t>理财公司和</w:t>
      </w:r>
      <w:r>
        <w:rPr>
          <w:rFonts w:hint="eastAsia" w:ascii="Calibri" w:hAnsi="Calibri" w:eastAsia="宋体" w:cs="黑体"/>
          <w:sz w:val="24"/>
          <w:highlight w:val="none"/>
          <w:lang w:val="en-US" w:eastAsia="zh-CN"/>
        </w:rPr>
        <w:t>销售机构面向投资者实施销售行为，两方共同承担理财计划的合规销售和投资者合法权益保护义务。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r>
        <w:rPr>
          <w:rFonts w:hint="eastAsia" w:ascii="Calibri" w:hAnsi="Calibri" w:eastAsia="宋体" w:cs="黑体"/>
          <w:sz w:val="24"/>
          <w:highlight w:val="none"/>
          <w:lang w:val="en-US" w:eastAsia="zh-CN"/>
        </w:rPr>
        <w:t>投资者与销售机构经平等友好协商，本着自愿、诚实信用原则，就投资者购买销售机构代理销售的理财计划有关事宜达成如下协议（以下简称“本协议”）：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第一条 </w:t>
      </w:r>
      <w:r>
        <w:rPr>
          <w:rFonts w:hint="eastAsia" w:ascii="Calibri" w:hAnsi="Calibri" w:eastAsia="宋体" w:cs="黑体"/>
          <w:b/>
          <w:bCs/>
          <w:sz w:val="24"/>
          <w:highlight w:val="none"/>
          <w:lang w:val="en-US" w:eastAsia="zh-CN"/>
        </w:rPr>
        <w:t>名词释义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r>
        <w:rPr>
          <w:rFonts w:hint="eastAsia" w:ascii="Calibri" w:hAnsi="Calibri" w:eastAsia="宋体" w:cs="黑体"/>
          <w:bCs/>
          <w:sz w:val="24"/>
          <w:highlight w:val="none"/>
          <w:lang w:val="en-US" w:eastAsia="zh-CN"/>
        </w:rPr>
        <w:t>详见对应期次的理财计划产品说明书“释义”部分。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Calibri" w:hAnsi="Calibri" w:eastAsia="宋体" w:cs="黑体"/>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第二条 </w:t>
      </w:r>
      <w:r>
        <w:rPr>
          <w:rFonts w:hint="eastAsia" w:ascii="Calibri" w:hAnsi="Calibri" w:eastAsia="宋体" w:cs="黑体"/>
          <w:b/>
          <w:bCs/>
          <w:sz w:val="24"/>
          <w:highlight w:val="none"/>
          <w:lang w:val="en-US" w:eastAsia="zh-CN"/>
        </w:rPr>
        <w:t>投资者权利与义务</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eastAsia="宋体" w:cs="黑体"/>
          <w:color w:val="000000"/>
          <w:kern w:val="2"/>
          <w:sz w:val="24"/>
          <w:highlight w:val="none"/>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投资者保证自身完全了解理财投资的性质，投资所涉及的风险以及自身风险承受能力，在慎重考虑后独立作出交易决定。</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rPr>
        <w:t>投资者购买</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lang w:eastAsia="zh-CN"/>
        </w:rPr>
        <w:t>代理销售</w:t>
      </w:r>
      <w:r>
        <w:rPr>
          <w:rFonts w:hint="eastAsia" w:ascii="宋体" w:hAnsi="宋体" w:eastAsia="宋体" w:cs="黑体"/>
          <w:b/>
          <w:bCs/>
          <w:sz w:val="24"/>
          <w:highlight w:val="none"/>
        </w:rPr>
        <w:t>的私募</w:t>
      </w:r>
      <w:r>
        <w:rPr>
          <w:rFonts w:hint="eastAsia" w:ascii="宋体" w:hAnsi="宋体" w:eastAsia="宋体" w:cs="黑体"/>
          <w:b/>
          <w:bCs/>
          <w:sz w:val="24"/>
          <w:highlight w:val="none"/>
          <w:lang w:eastAsia="zh-CN"/>
        </w:rPr>
        <w:t>理财计划</w:t>
      </w:r>
      <w:r>
        <w:rPr>
          <w:rFonts w:hint="eastAsia" w:ascii="宋体" w:hAnsi="宋体" w:eastAsia="宋体" w:cs="黑体"/>
          <w:b/>
          <w:bCs/>
          <w:sz w:val="24"/>
          <w:highlight w:val="none"/>
        </w:rPr>
        <w:t>后，可以享有24 小时的投资冷静期，在投资冷静期内，如</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改变投资决定，应提出解除相应理财</w:t>
      </w:r>
      <w:r>
        <w:rPr>
          <w:rFonts w:hint="eastAsia" w:ascii="宋体" w:hAnsi="宋体" w:eastAsia="宋体" w:cs="黑体"/>
          <w:b/>
          <w:bCs/>
          <w:sz w:val="24"/>
          <w:highlight w:val="none"/>
          <w:lang w:val="en-US" w:eastAsia="zh-CN"/>
        </w:rPr>
        <w:t>计划合同</w:t>
      </w:r>
      <w:r>
        <w:rPr>
          <w:rFonts w:hint="eastAsia" w:ascii="宋体" w:hAnsi="宋体" w:eastAsia="宋体" w:cs="黑体"/>
          <w:b/>
          <w:bCs/>
          <w:sz w:val="24"/>
          <w:highlight w:val="none"/>
        </w:rPr>
        <w:t>文件申请，</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将及时退还</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的全部投资款项。</w:t>
      </w:r>
      <w:r>
        <w:rPr>
          <w:rFonts w:hint="eastAsia" w:ascii="宋体" w:hAnsi="宋体" w:eastAsia="宋体" w:cs="黑体"/>
          <w:sz w:val="24"/>
          <w:highlight w:val="none"/>
        </w:rPr>
        <w:t>投资冷静期相关约定详见</w:t>
      </w:r>
      <w:r>
        <w:rPr>
          <w:rFonts w:hint="eastAsia" w:ascii="宋体" w:hAnsi="宋体" w:eastAsia="宋体" w:cs="黑体"/>
          <w:sz w:val="24"/>
          <w:highlight w:val="none"/>
          <w:lang w:val="en-US" w:eastAsia="zh-CN"/>
        </w:rPr>
        <w:t>理财计划产品</w:t>
      </w:r>
      <w:r>
        <w:rPr>
          <w:rFonts w:hint="eastAsia" w:ascii="宋体" w:hAnsi="宋体" w:eastAsia="宋体" w:cs="黑体"/>
          <w:sz w:val="24"/>
          <w:highlight w:val="none"/>
        </w:rPr>
        <w:t>说明书</w:t>
      </w:r>
      <w:r>
        <w:rPr>
          <w:rFonts w:hint="eastAsia" w:ascii="宋体" w:hAnsi="宋体" w:eastAsia="宋体" w:cs="黑体"/>
          <w:sz w:val="24"/>
          <w:highlight w:val="none"/>
          <w:lang w:eastAsia="zh-CN"/>
        </w:rPr>
        <w:t>。</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投资者保证其有权利签署本协议和履行本协议所述的义务，并已为此采取一切所需的行为。</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投资者保证执行及交付任何文件或履行本协议项下的义务，均不会违反任何适用法律、法规、法令或法律限制</w:t>
      </w:r>
      <w:r>
        <w:rPr>
          <w:rFonts w:hint="eastAsia" w:ascii="宋体" w:hAnsi="宋体" w:eastAsia="宋体" w:cs="黑体"/>
          <w:sz w:val="24"/>
          <w:highlight w:val="none"/>
          <w:lang w:eastAsia="zh-CN"/>
        </w:rPr>
        <w:t>；</w:t>
      </w:r>
      <w:r>
        <w:rPr>
          <w:rFonts w:hint="eastAsia" w:ascii="宋体" w:hAnsi="宋体" w:eastAsia="宋体" w:cs="黑体"/>
          <w:sz w:val="24"/>
          <w:highlight w:val="none"/>
        </w:rPr>
        <w:t>不会违反任何法院或政府机关所作出的适用于投资者或投资者任何资产的判决或指令；不会违反对投资者或投资者任何资产有约束力的任何重大协议条款。投资者应在签署本协议的同时在</w:t>
      </w:r>
      <w:r>
        <w:rPr>
          <w:rFonts w:hint="eastAsia" w:ascii="宋体" w:hAnsi="宋体" w:eastAsia="宋体" w:cs="黑体"/>
          <w:sz w:val="24"/>
          <w:highlight w:val="none"/>
          <w:lang w:val="en-US" w:eastAsia="zh-CN"/>
        </w:rPr>
        <w:t>其</w:t>
      </w:r>
      <w:r>
        <w:rPr>
          <w:rFonts w:hint="eastAsia" w:ascii="宋体" w:hAnsi="宋体" w:eastAsia="宋体" w:cs="黑体"/>
          <w:sz w:val="24"/>
          <w:highlight w:val="none"/>
        </w:rPr>
        <w:t>授权指定</w:t>
      </w:r>
      <w:r>
        <w:rPr>
          <w:rFonts w:hint="eastAsia" w:ascii="宋体" w:hAnsi="宋体" w:eastAsia="宋体" w:cs="黑体"/>
          <w:sz w:val="24"/>
          <w:highlight w:val="none"/>
          <w:lang w:val="en-US" w:eastAsia="zh-CN"/>
        </w:rPr>
        <w:t>的</w:t>
      </w:r>
      <w:r>
        <w:rPr>
          <w:rFonts w:hint="eastAsia" w:ascii="宋体" w:hAnsi="宋体" w:eastAsia="宋体" w:cs="黑体"/>
          <w:sz w:val="24"/>
          <w:highlight w:val="none"/>
        </w:rPr>
        <w:t>账户</w:t>
      </w:r>
      <w:r>
        <w:rPr>
          <w:rFonts w:hint="eastAsia" w:ascii="宋体" w:hAnsi="宋体" w:eastAsia="宋体" w:cs="黑体"/>
          <w:sz w:val="24"/>
          <w:highlight w:val="none"/>
          <w:lang w:val="en-US" w:eastAsia="zh-CN"/>
        </w:rPr>
        <w:t>中（以下简称“授权指定账户”）</w:t>
      </w:r>
      <w:r>
        <w:rPr>
          <w:rFonts w:hint="eastAsia" w:ascii="宋体" w:hAnsi="宋体" w:eastAsia="宋体" w:cs="黑体"/>
          <w:sz w:val="24"/>
          <w:highlight w:val="none"/>
        </w:rPr>
        <w:t>存入足额的资金以确保账户余额大于或等于认/申购金额。</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在此确认</w:t>
      </w:r>
      <w:r>
        <w:rPr>
          <w:rFonts w:hint="eastAsia" w:ascii="宋体" w:hAnsi="宋体" w:eastAsia="宋体" w:cs="黑体"/>
          <w:b/>
          <w:bCs/>
          <w:sz w:val="24"/>
          <w:highlight w:val="none"/>
          <w:lang w:val="en-US" w:eastAsia="zh-CN"/>
        </w:rPr>
        <w:t>销售机构</w:t>
      </w:r>
      <w:r>
        <w:rPr>
          <w:rFonts w:hint="eastAsia" w:ascii="宋体" w:hAnsi="宋体" w:eastAsia="宋体" w:cs="黑体"/>
          <w:b/>
          <w:bCs/>
          <w:sz w:val="24"/>
          <w:highlight w:val="none"/>
        </w:rPr>
        <w:t>的系统记录以及录音、录像构成对</w:t>
      </w:r>
      <w:r>
        <w:rPr>
          <w:rFonts w:hint="eastAsia" w:ascii="宋体" w:hAnsi="宋体" w:eastAsia="宋体" w:cs="黑体"/>
          <w:b/>
          <w:bCs/>
          <w:sz w:val="24"/>
          <w:highlight w:val="none"/>
          <w:lang w:val="en-US" w:eastAsia="zh-CN"/>
        </w:rPr>
        <w:t>投资者</w:t>
      </w:r>
      <w:r>
        <w:rPr>
          <w:rFonts w:hint="eastAsia" w:ascii="宋体" w:hAnsi="宋体" w:eastAsia="宋体" w:cs="黑体"/>
          <w:b/>
          <w:bCs/>
          <w:sz w:val="24"/>
          <w:highlight w:val="none"/>
        </w:rPr>
        <w:t>操作行为（包括但不限于购买、赎回、撤单）的有效证据，并且在</w:t>
      </w:r>
      <w:r>
        <w:rPr>
          <w:rFonts w:hint="eastAsia" w:ascii="宋体" w:hAnsi="宋体" w:eastAsia="宋体" w:cs="黑体"/>
          <w:b/>
          <w:bCs/>
          <w:sz w:val="24"/>
          <w:highlight w:val="none"/>
          <w:lang w:val="en-US" w:eastAsia="zh-CN"/>
        </w:rPr>
        <w:t>双</w:t>
      </w:r>
      <w:r>
        <w:rPr>
          <w:rFonts w:hint="eastAsia" w:ascii="宋体" w:hAnsi="宋体" w:eastAsia="宋体" w:cs="黑体"/>
          <w:b/>
          <w:bCs/>
          <w:sz w:val="24"/>
          <w:highlight w:val="none"/>
        </w:rPr>
        <w:t>方发生争议时可以作为合法有效的证据使用</w:t>
      </w:r>
      <w:r>
        <w:rPr>
          <w:rFonts w:hint="eastAsia" w:ascii="宋体" w:hAnsi="宋体" w:eastAsia="宋体" w:cs="黑体"/>
          <w:sz w:val="24"/>
          <w:highlight w:val="none"/>
          <w:lang w:eastAsia="zh-CN"/>
        </w:rPr>
        <w:t>。</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在本理财计划存续期内，如有权机关要求</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配合对投资者理财份额、理财账户、授权指定账户进行查封、冻结或扣划的，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有权根据实际情况采取</w:t>
      </w:r>
      <w:r>
        <w:rPr>
          <w:rFonts w:hint="eastAsia" w:ascii="宋体" w:hAnsi="宋体" w:eastAsia="宋体" w:cs="黑体"/>
          <w:sz w:val="24"/>
          <w:highlight w:val="none"/>
          <w:lang w:val="en-US" w:eastAsia="zh-CN"/>
        </w:rPr>
        <w:t>相应</w:t>
      </w:r>
      <w:r>
        <w:rPr>
          <w:rFonts w:hint="eastAsia" w:ascii="宋体" w:hAnsi="宋体" w:eastAsia="宋体" w:cs="黑体"/>
          <w:sz w:val="24"/>
          <w:highlight w:val="none"/>
        </w:rPr>
        <w:t>措施。</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对上述后果不承担任何责任。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本协议终止前，投资者不得将授权指定账户销户。若发生因投资者注销授权指定账户造成理财计划无法正常兑付的，</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不承担任何责任。</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rPr>
        <w:t>投资者应确保其提供的所有资料真实、完整、合法、有效，如果有任何变更，投资者应及时通知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并办理变更手续。如因投资者未及时通知</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并办理相应的变更手续，由此导致的一切后果由投资者自行承担，</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对此不承担任何责任。 </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rPr>
      </w:pPr>
      <w:r>
        <w:rPr>
          <w:rFonts w:hint="eastAsia" w:ascii="宋体" w:hAnsi="宋体" w:eastAsia="宋体" w:cs="黑体"/>
          <w:sz w:val="24"/>
          <w:highlight w:val="none"/>
          <w:lang w:val="en-US" w:eastAsia="zh-CN"/>
        </w:rPr>
        <w:t>投资者</w:t>
      </w:r>
      <w:r>
        <w:rPr>
          <w:rFonts w:hint="eastAsia" w:ascii="宋体" w:hAnsi="宋体" w:eastAsia="宋体" w:cs="黑体"/>
          <w:sz w:val="24"/>
          <w:highlight w:val="none"/>
        </w:rPr>
        <w:t>对本协议及其条款负有保密义务，未经</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书面许可，不得向任何组织、个人提供或泄露与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有关的业务资料及信息，但法律、法规另有规定的除外</w:t>
      </w:r>
      <w:r>
        <w:rPr>
          <w:rFonts w:hint="eastAsia" w:ascii="宋体" w:hAnsi="宋体" w:eastAsia="宋体" w:cs="黑体"/>
          <w:sz w:val="24"/>
          <w:highlight w:val="none"/>
          <w:lang w:eastAsia="zh-CN"/>
        </w:rPr>
        <w:t>。</w:t>
      </w:r>
    </w:p>
    <w:p>
      <w:pPr>
        <w:widowControl/>
        <w:numPr>
          <w:ilvl w:val="0"/>
          <w:numId w:val="81"/>
        </w:numPr>
        <w:spacing w:line="360" w:lineRule="auto"/>
        <w:ind w:left="0" w:leftChars="0" w:firstLine="420" w:firstLineChars="0"/>
        <w:contextualSpacing/>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投资者进行投资时，应严格遵守反洗钱相关法规的规定，切实履行反洗钱及反恐怖融资义务。</w:t>
      </w:r>
    </w:p>
    <w:p>
      <w:pPr>
        <w:widowControl/>
        <w:numPr>
          <w:ilvl w:val="0"/>
          <w:numId w:val="8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投资者个人信息授权</w:t>
      </w:r>
    </w:p>
    <w:p>
      <w:pPr>
        <w:widowControl/>
        <w:numPr>
          <w:ilvl w:val="0"/>
          <w:numId w:val="0"/>
        </w:numPr>
        <w:spacing w:line="360" w:lineRule="auto"/>
        <w:ind w:left="0" w:leftChars="0" w:firstLine="482" w:firstLineChars="200"/>
        <w:contextualSpacing/>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基于销售机构履行本协议、进行服务管理和风险管理、报送监管信息等需要，履行反洗钱、投资者资质审核和销售适当性等法律法规和监管要求的义务，投资者在此同意并授权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numPr>
          <w:ilvl w:val="0"/>
          <w:numId w:val="81"/>
        </w:numPr>
        <w:spacing w:line="360" w:lineRule="auto"/>
        <w:ind w:left="0" w:leftChars="0" w:firstLine="420" w:firstLineChars="0"/>
        <w:contextualSpacing/>
        <w:outlineLvl w:val="9"/>
        <w:rPr>
          <w:rFonts w:hint="eastAsia" w:ascii="宋体" w:hAnsi="宋体" w:eastAsia="宋体" w:cs="黑体"/>
          <w:b/>
          <w:bCs/>
          <w:sz w:val="24"/>
          <w:highlight w:val="none"/>
          <w:lang w:val="en-US" w:eastAsia="zh-CN"/>
        </w:rPr>
      </w:pPr>
      <w:r>
        <w:rPr>
          <w:rFonts w:hint="eastAsia" w:ascii="宋体" w:hAnsi="宋体" w:eastAsia="宋体" w:cs="黑体"/>
          <w:b/>
          <w:bCs/>
          <w:sz w:val="24"/>
          <w:highlight w:val="none"/>
          <w:lang w:val="en-US" w:eastAsia="zh-CN"/>
        </w:rPr>
        <w:t>投</w:t>
      </w:r>
      <w:r>
        <w:rPr>
          <w:rFonts w:hint="eastAsia" w:ascii="宋体" w:hAnsi="宋体"/>
          <w:b/>
          <w:bCs/>
          <w:sz w:val="24"/>
          <w:highlight w:val="none"/>
        </w:rPr>
        <w:t>资者同意关于杭银理财发行且被评定为中高风险及以上的理财计划，可通过经杭银理财认可的销售渠道（含线上渠道和线下渠道等）进行交易。如通过线上渠道办理，投资者知晓并确认自身对于上述理财计划的特性及风险有充分的了解与判断。如销售机构有相关规定的，则应以销售机构的要求为准。</w:t>
      </w:r>
    </w:p>
    <w:p>
      <w:pPr>
        <w:widowControl/>
        <w:numPr>
          <w:ilvl w:val="0"/>
          <w:numId w:val="0"/>
        </w:numPr>
        <w:spacing w:line="360" w:lineRule="auto"/>
        <w:ind w:left="0" w:leftChars="0" w:firstLine="482" w:firstLineChars="200"/>
        <w:contextualSpacing/>
        <w:rPr>
          <w:rFonts w:hint="default"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第三条 </w:t>
      </w:r>
      <w:r>
        <w:rPr>
          <w:rFonts w:hint="eastAsia" w:ascii="Calibri" w:hAnsi="Calibri" w:eastAsia="宋体" w:cs="黑体"/>
          <w:b/>
          <w:bCs/>
          <w:sz w:val="24"/>
          <w:highlight w:val="none"/>
          <w:lang w:val="en-US" w:eastAsia="zh-CN"/>
        </w:rPr>
        <w:t>销售机构的权利与义务</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拟销售的理财计划开展尽职调查，承担审批职责，并纳入本机构统一专门名单管理，不得仅以管理人相关产品资料或其出具意见作为审批依据。销售机构应当根据本机构的方式和方法，独立、审慎地对代理销售的理财计划进行销售评级。销售评级与管理人产品评级结果不一致的，销售机构应当采用对应较高风险等级的评级结果并予以披露。</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b/>
          <w:bCs/>
          <w:sz w:val="24"/>
          <w:highlight w:val="none"/>
          <w:lang w:val="en-US" w:eastAsia="zh-CN"/>
        </w:rPr>
        <w:t>代理销售机构非本计划的发行、管理机构，对本计划的业绩不承担任何保证和其他经济责任，不承担本计划的投资、兑付和风险管理责任</w:t>
      </w:r>
      <w:r>
        <w:rPr>
          <w:rFonts w:hint="eastAsia" w:ascii="宋体" w:hAnsi="宋体" w:eastAsia="宋体" w:cs="黑体"/>
          <w:sz w:val="24"/>
          <w:highlight w:val="none"/>
          <w:lang w:val="en-US" w:eastAsia="zh-CN"/>
        </w:rPr>
        <w:t>。</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销售机构应定期对购买其代理销售的理财计划的非机构投资者进行有效风险承受能力评估，并保证向投资者推介及销售与其风险承受能力匹配的产品。</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对于通过营业网点向非机构投资者销售理财计划的，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both"/>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销售机构应建立健全上岗资格、持续培训、信息公示与查询核实等制度并有效执行。未经销售机构进行上岗资格认定并签订劳动合同，任何人员不得从事理财计划销售业务活动。</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销售机构应对所有销售人员信息进行登记和公示。销售人员在向投资者宣传销售理财计划前进行自我介绍并告知信息查询和核实渠道，便于投资者查询核实，防止伪冒身份和虚假宣传。</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销售机构对投资者负有信息保密义务，未经投资者书面许可，销售机构不得向任何组织、个人提供或泄露与投资者有关的业务资料及信息，但法律、法规、监管机构另有规定的除外。</w:t>
      </w:r>
    </w:p>
    <w:p>
      <w:pPr>
        <w:keepNext w:val="0"/>
        <w:keepLines w:val="0"/>
        <w:pageBreakBefore w:val="0"/>
        <w:widowControl/>
        <w:numPr>
          <w:ilvl w:val="0"/>
          <w:numId w:val="82"/>
        </w:numPr>
        <w:kinsoku/>
        <w:wordWrap/>
        <w:overflowPunct/>
        <w:topLinePunct w:val="0"/>
        <w:autoSpaceDE/>
        <w:autoSpaceDN/>
        <w:bidi w:val="0"/>
        <w:adjustRightInd/>
        <w:snapToGrid/>
        <w:spacing w:line="360" w:lineRule="auto"/>
        <w:ind w:left="0" w:leftChars="0" w:firstLine="420" w:firstLineChars="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销售机构应按照法律法规、监管规定、理财计划合同的约定收取销售费用，并如实核算、记账。未经载明，不得对不同投资者适用不同费率。</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理财计划销售结算资金属于理财计划投资者，销售机构不得挪用理财计划销售结算资金或将理财计划销售结算资金归入自有资产。</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销售机构应遵守相关法律、法规、监管规定及理财计划合同约定，诚实守信、勤勉尽责，向购买理财计划的投资者充分传递管理人披露的产品相关信息并进行充分的风险揭示。</w:t>
      </w:r>
    </w:p>
    <w:p>
      <w:pPr>
        <w:keepNext w:val="0"/>
        <w:keepLines w:val="0"/>
        <w:pageBreakBefore w:val="0"/>
        <w:widowControl/>
        <w:numPr>
          <w:ilvl w:val="0"/>
          <w:numId w:val="76"/>
        </w:numPr>
        <w:kinsoku/>
        <w:wordWrap/>
        <w:overflowPunct/>
        <w:topLinePunct w:val="0"/>
        <w:autoSpaceDE/>
        <w:autoSpaceDN/>
        <w:bidi w:val="0"/>
        <w:adjustRightInd/>
        <w:snapToGrid/>
        <w:spacing w:line="360" w:lineRule="auto"/>
        <w:ind w:firstLine="420"/>
        <w:contextualSpacing/>
        <w:jc w:val="left"/>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销售机构应当充分利用科技手段，加强对伪冒网站、伪冒产品等监测，有效防范各类欺诈风险。</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82" w:firstLine="0"/>
        <w:contextualSpacing/>
        <w:jc w:val="left"/>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第四条 </w:t>
      </w:r>
      <w:r>
        <w:rPr>
          <w:rFonts w:hint="eastAsia" w:ascii="Calibri" w:hAnsi="Calibri" w:eastAsia="宋体" w:cs="黑体"/>
          <w:b/>
          <w:bCs/>
          <w:sz w:val="24"/>
          <w:highlight w:val="none"/>
          <w:lang w:val="en-US" w:eastAsia="zh-CN"/>
        </w:rPr>
        <w:t>理财计划认（申）购、赎回及终止</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理财计划认/申购办理流程：参照投资者权益须知约定。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理财计划认/申购确认：管理人根据</w:t>
      </w:r>
      <w:r>
        <w:rPr>
          <w:rFonts w:hint="eastAsia" w:ascii="宋体" w:hAnsi="宋体" w:eastAsia="宋体" w:cs="黑体"/>
          <w:sz w:val="24"/>
          <w:highlight w:val="none"/>
          <w:lang w:eastAsia="zh-CN"/>
        </w:rPr>
        <w:t>销售</w:t>
      </w:r>
      <w:r>
        <w:rPr>
          <w:rFonts w:hint="eastAsia" w:ascii="宋体" w:hAnsi="宋体" w:eastAsia="宋体" w:cs="黑体"/>
          <w:sz w:val="24"/>
          <w:highlight w:val="none"/>
        </w:rPr>
        <w:t>渠道提供的交易信息及资金划付对投资者相应认/申购进行确认。</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理财计划不成立：若在募集期结束日，本理财计划发行规模未能达到对应期次的理财计划产品说明书规定的要求，则本理财计划不成立，</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 xml:space="preserve">将按对应期次的理财计划产品说明书约定条款向投资者进行公告，并将及时解除对投资者授权指定账户中认购资金的冻结。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 xml:space="preserve">理财计划投资品种、投资起点金额、收益支付方式：参照对应期次的理财计划产品说明书中的条款约定。 </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理财计划赎回/终止兑付：在正常情况下，管理人和</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产品说明书约定管理人对理财计划进行延期或转换时，</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将于原约定清算日前通过信息披露途径及时通知，并根据实际情况进行后续处理。</w:t>
      </w:r>
    </w:p>
    <w:p>
      <w:pPr>
        <w:keepNext w:val="0"/>
        <w:keepLines w:val="0"/>
        <w:pageBreakBefore w:val="0"/>
        <w:widowControl/>
        <w:numPr>
          <w:ilvl w:val="0"/>
          <w:numId w:val="83"/>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资金清算：理财计划终止或份额赎回时，管理人按理财计划合同约定划付至</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清算账户后，由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向投资者划付投资者应得资金。如因投资者清算账户余额不足，或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未及时足额划付资金，或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清算账户内资金被依法冻结或扣划，或</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清算账户处于被挂失、冻结、注销或其他非正常状态等原因而导致交易失败</w:t>
      </w:r>
      <w:r>
        <w:rPr>
          <w:rFonts w:hint="eastAsia" w:ascii="宋体" w:hAnsi="宋体" w:eastAsia="宋体" w:cs="黑体"/>
          <w:sz w:val="24"/>
          <w:highlight w:val="none"/>
          <w:lang w:eastAsia="zh-CN"/>
        </w:rPr>
        <w:t>，</w:t>
      </w:r>
      <w:r>
        <w:rPr>
          <w:rFonts w:hint="eastAsia" w:ascii="宋体" w:hAnsi="宋体" w:eastAsia="宋体" w:cs="黑体"/>
          <w:sz w:val="24"/>
          <w:highlight w:val="none"/>
        </w:rPr>
        <w:t>对于因上述原因导致的交易失败可能带来的任何损失及预期损失，投资者须自行承担或向</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依法主张。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178" w:leftChars="85" w:firstLine="0" w:firstLineChars="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第五条 </w:t>
      </w:r>
      <w:r>
        <w:rPr>
          <w:rFonts w:hint="eastAsia" w:ascii="Calibri" w:hAnsi="Calibri" w:eastAsia="宋体" w:cs="黑体"/>
          <w:b/>
          <w:bCs/>
          <w:sz w:val="24"/>
          <w:highlight w:val="none"/>
          <w:lang w:val="en-US" w:eastAsia="zh-CN"/>
        </w:rPr>
        <w:t>违约责任及免责条款</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原因导致司法或行政</w:t>
      </w:r>
      <w:r>
        <w:rPr>
          <w:rFonts w:hint="eastAsia" w:ascii="宋体" w:hAnsi="宋体" w:eastAsia="宋体" w:cs="黑体"/>
          <w:sz w:val="24"/>
          <w:highlight w:val="none"/>
          <w:lang w:eastAsia="zh-CN"/>
        </w:rPr>
        <w:t>等有权机关</w:t>
      </w:r>
      <w:r>
        <w:rPr>
          <w:rFonts w:hint="eastAsia" w:ascii="宋体" w:hAnsi="宋体" w:eastAsia="宋体" w:cs="黑体"/>
          <w:sz w:val="24"/>
          <w:highlight w:val="none"/>
        </w:rPr>
        <w:t>采取强制措施对其理财本金、收益进行部分或全部被扣划，均视投资者本人就全部理财本金进行了提前</w:t>
      </w:r>
      <w:r>
        <w:rPr>
          <w:rFonts w:hint="eastAsia" w:ascii="宋体" w:hAnsi="宋体" w:eastAsia="宋体" w:cs="黑体"/>
          <w:sz w:val="24"/>
          <w:highlight w:val="none"/>
          <w:lang w:eastAsia="zh-CN"/>
        </w:rPr>
        <w:t>赎回</w:t>
      </w:r>
      <w:r>
        <w:rPr>
          <w:rFonts w:hint="eastAsia" w:ascii="宋体" w:hAnsi="宋体" w:eastAsia="宋体" w:cs="黑体"/>
          <w:sz w:val="24"/>
          <w:highlight w:val="none"/>
        </w:rPr>
        <w:t>，本</w:t>
      </w:r>
      <w:r>
        <w:rPr>
          <w:rFonts w:hint="eastAsia" w:ascii="宋体" w:hAnsi="宋体" w:eastAsia="宋体" w:cs="黑体"/>
          <w:sz w:val="24"/>
          <w:highlight w:val="none"/>
          <w:lang w:eastAsia="zh-CN"/>
        </w:rPr>
        <w:t>协议</w:t>
      </w:r>
      <w:r>
        <w:rPr>
          <w:rFonts w:hint="eastAsia" w:ascii="宋体" w:hAnsi="宋体" w:eastAsia="宋体" w:cs="黑体"/>
          <w:sz w:val="24"/>
          <w:highlight w:val="none"/>
        </w:rPr>
        <w:t>自动终止。因提前终止而产生的损失及相关费用由投资者承担。本</w:t>
      </w:r>
      <w:r>
        <w:rPr>
          <w:rFonts w:hint="eastAsia" w:ascii="宋体" w:hAnsi="宋体" w:eastAsia="宋体" w:cs="黑体"/>
          <w:sz w:val="24"/>
          <w:highlight w:val="none"/>
          <w:lang w:eastAsia="zh-CN"/>
        </w:rPr>
        <w:t>协议因</w:t>
      </w:r>
      <w:r>
        <w:rPr>
          <w:rFonts w:hint="eastAsia" w:ascii="宋体" w:hAnsi="宋体" w:eastAsia="宋体" w:cs="黑体"/>
          <w:sz w:val="24"/>
          <w:highlight w:val="none"/>
        </w:rPr>
        <w:t>前述情况终止的，理财本金不计付</w:t>
      </w:r>
      <w:r>
        <w:rPr>
          <w:rFonts w:hint="eastAsia" w:ascii="宋体" w:hAnsi="宋体" w:eastAsia="宋体" w:cs="黑体"/>
          <w:sz w:val="24"/>
          <w:highlight w:val="none"/>
          <w:lang w:eastAsia="zh-CN"/>
        </w:rPr>
        <w:t>赎回</w:t>
      </w:r>
      <w:r>
        <w:rPr>
          <w:rFonts w:hint="eastAsia" w:ascii="宋体" w:hAnsi="宋体" w:eastAsia="宋体" w:cs="黑体"/>
          <w:sz w:val="24"/>
          <w:highlight w:val="none"/>
        </w:rPr>
        <w:t>日前的理财收益，也不计付存款利息。</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投资者违反本协议第二条内容，应承担相应违约责任。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对由此导致的理财业务交易延误、中断、终止及</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损失不承担任何责任，并有权单方终止双方理财业务关系。因</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违反双方约定给</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或全体投资者造成损失的，</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应承担相应的赔偿责任。</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若由于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过错导致理财计划资产发生损失，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应按其过错承担赔偿责任，</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赔偿的款项计入理财计划的资产和收益。</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由于地震、火灾、战争等不可抗力或突发重大卫生公共事件等不可预测事件造成的交易中断、延误等风险及损失，</w:t>
      </w:r>
      <w:r>
        <w:rPr>
          <w:rFonts w:hint="eastAsia" w:ascii="宋体" w:hAnsi="宋体" w:eastAsia="宋体" w:cs="黑体"/>
          <w:sz w:val="24"/>
          <w:highlight w:val="none"/>
          <w:lang w:eastAsia="zh-CN"/>
        </w:rPr>
        <w:t>销售机构</w:t>
      </w:r>
      <w:r>
        <w:rPr>
          <w:rFonts w:hint="eastAsia" w:ascii="宋体" w:hAnsi="宋体" w:eastAsia="宋体" w:cs="黑体"/>
          <w:sz w:val="24"/>
          <w:highlight w:val="none"/>
        </w:rPr>
        <w:t>不承担责任；但</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应在上述情况发生</w:t>
      </w:r>
      <w:r>
        <w:rPr>
          <w:rFonts w:hint="eastAsia" w:ascii="宋体" w:hAnsi="宋体" w:eastAsia="宋体" w:cs="黑体"/>
          <w:sz w:val="24"/>
          <w:highlight w:val="none"/>
          <w:lang w:eastAsia="zh-CN"/>
        </w:rPr>
        <w:t>后</w:t>
      </w:r>
      <w:r>
        <w:rPr>
          <w:rFonts w:hint="eastAsia" w:ascii="宋体" w:hAnsi="宋体" w:eastAsia="宋体" w:cs="黑体"/>
          <w:sz w:val="24"/>
          <w:highlight w:val="none"/>
        </w:rPr>
        <w:t>在条件允许时及时通知</w:t>
      </w:r>
      <w:r>
        <w:rPr>
          <w:rFonts w:hint="eastAsia" w:ascii="宋体" w:hAnsi="宋体" w:eastAsia="宋体" w:cs="黑体"/>
          <w:sz w:val="24"/>
          <w:highlight w:val="none"/>
          <w:lang w:eastAsia="zh-CN"/>
        </w:rPr>
        <w:t>投资者</w:t>
      </w:r>
      <w:r>
        <w:rPr>
          <w:rFonts w:hint="eastAsia" w:ascii="宋体" w:hAnsi="宋体" w:eastAsia="宋体" w:cs="黑体"/>
          <w:sz w:val="24"/>
          <w:highlight w:val="none"/>
        </w:rPr>
        <w:t>并采取一切必要且可能的措施阻止损失扩大。</w:t>
      </w:r>
    </w:p>
    <w:p>
      <w:pPr>
        <w:keepNext w:val="0"/>
        <w:keepLines w:val="0"/>
        <w:pageBreakBefore w:val="0"/>
        <w:widowControl/>
        <w:numPr>
          <w:ilvl w:val="0"/>
          <w:numId w:val="84"/>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因国家有关法律、法规、规章、政策的修改或新的法律、法规、规章、政策颁布以及紧急措施的出台导致的风险及损失，</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不承担责任。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b/>
          <w:bCs/>
          <w:sz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第六条 </w:t>
      </w:r>
      <w:r>
        <w:rPr>
          <w:rFonts w:hint="eastAsia" w:ascii="Calibri" w:hAnsi="Calibri" w:eastAsia="宋体" w:cs="黑体"/>
          <w:b/>
          <w:bCs/>
          <w:sz w:val="24"/>
          <w:highlight w:val="none"/>
          <w:lang w:val="en-US" w:eastAsia="zh-CN"/>
        </w:rPr>
        <w:t>适用法律与争议解决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黑体"/>
          <w:sz w:val="24"/>
          <w:highlight w:val="none"/>
          <w:lang w:val="en-US" w:eastAsia="zh-CN"/>
        </w:rPr>
      </w:pPr>
      <w:r>
        <w:rPr>
          <w:rFonts w:hint="eastAsia" w:ascii="宋体" w:hAnsi="宋体" w:eastAsia="宋体" w:cs="黑体"/>
          <w:sz w:val="24"/>
          <w:highlight w:val="none"/>
          <w:lang w:val="en-US" w:eastAsia="zh-CN"/>
        </w:rPr>
        <w:t>本协议适用中华人民共和国（仅为明确本合同适用法律规则，不含香港特别行政区、澳门特别行政区及中国台湾地区）的法律和行政法规。本协议项下的及与之有关的一切争议，投资者与销售机构双方应首先协商解决，协商不成的，应提交被告人所在地人民法院诉讼解决。诉讼期间，未涉及争议的条款仍需继续履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contextualSpacing/>
        <w:textAlignment w:val="auto"/>
        <w:rPr>
          <w:rFonts w:hint="eastAsia" w:ascii="宋体" w:hAnsi="宋体" w:eastAsia="宋体" w:cs="黑体"/>
          <w:b/>
          <w:bCs/>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sz w:val="24"/>
          <w:highlight w:val="none"/>
          <w:lang w:val="en-US" w:eastAsia="zh-CN"/>
        </w:rPr>
      </w:pPr>
      <w:r>
        <w:rPr>
          <w:rFonts w:hint="eastAsia" w:eastAsia="宋体" w:cs="黑体"/>
          <w:b/>
          <w:bCs/>
          <w:sz w:val="24"/>
          <w:highlight w:val="none"/>
          <w:lang w:val="en-US" w:eastAsia="zh-CN"/>
        </w:rPr>
        <w:t xml:space="preserve">第七条 </w:t>
      </w:r>
      <w:r>
        <w:rPr>
          <w:rFonts w:hint="eastAsia" w:ascii="Calibri" w:hAnsi="Calibri" w:eastAsia="宋体" w:cs="黑体"/>
          <w:b/>
          <w:bCs/>
          <w:sz w:val="24"/>
          <w:highlight w:val="none"/>
          <w:lang w:val="en-US" w:eastAsia="zh-CN"/>
        </w:rPr>
        <w:t>协议生效和终止</w:t>
      </w:r>
    </w:p>
    <w:p>
      <w:pPr>
        <w:keepNext w:val="0"/>
        <w:keepLines w:val="0"/>
        <w:pageBreakBefore w:val="0"/>
        <w:widowControl/>
        <w:numPr>
          <w:ilvl w:val="0"/>
          <w:numId w:val="85"/>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 xml:space="preserve">双方认可本协议可以纸质或电子数据等形式提交、订立或确认。 </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本协议书</w:t>
      </w:r>
      <w:r>
        <w:rPr>
          <w:rFonts w:hint="eastAsia" w:ascii="宋体" w:hAnsi="宋体"/>
          <w:sz w:val="24"/>
          <w:highlight w:val="none"/>
        </w:rPr>
        <w:t>以纸质书面形式订立的，自投资者签</w:t>
      </w:r>
      <w:r>
        <w:rPr>
          <w:rFonts w:hint="eastAsia" w:ascii="宋体" w:hAnsi="宋体"/>
          <w:sz w:val="24"/>
          <w:highlight w:val="none"/>
          <w:lang w:val="en-US" w:eastAsia="zh-CN"/>
        </w:rPr>
        <w:t>署（如投资者为个人，应签字；如投资者为机构，应法定代表人或授权代理人签字或盖章并加盖公章或有效授权印章）</w:t>
      </w:r>
      <w:r>
        <w:rPr>
          <w:rFonts w:hint="eastAsia" w:ascii="宋体" w:hAnsi="宋体"/>
          <w:sz w:val="24"/>
          <w:highlight w:val="none"/>
        </w:rPr>
        <w:t>和</w:t>
      </w:r>
      <w:r>
        <w:rPr>
          <w:rFonts w:hint="eastAsia" w:ascii="宋体" w:hAnsi="宋体"/>
          <w:sz w:val="24"/>
          <w:highlight w:val="none"/>
          <w:lang w:eastAsia="zh-CN"/>
        </w:rPr>
        <w:t>销售机构</w:t>
      </w:r>
      <w:r>
        <w:rPr>
          <w:rFonts w:hint="eastAsia" w:ascii="宋体" w:hAnsi="宋体"/>
          <w:sz w:val="24"/>
          <w:highlight w:val="none"/>
        </w:rPr>
        <w:t>签章之后立即生效。协议一式叁份，投资者、管理人和</w:t>
      </w:r>
      <w:r>
        <w:rPr>
          <w:rFonts w:hint="eastAsia" w:ascii="宋体" w:hAnsi="宋体"/>
          <w:sz w:val="24"/>
          <w:highlight w:val="none"/>
          <w:lang w:eastAsia="zh-CN"/>
        </w:rPr>
        <w:t>销售机构</w:t>
      </w:r>
      <w:r>
        <w:rPr>
          <w:rFonts w:hint="eastAsia" w:ascii="宋体" w:hAnsi="宋体"/>
          <w:sz w:val="24"/>
          <w:highlight w:val="none"/>
        </w:rPr>
        <w:t>各执壹份，具有同等法律效力。</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本协议书以数据电文形式订立的，投资者在销售机构的电子银行</w:t>
      </w:r>
      <w:r>
        <w:rPr>
          <w:rFonts w:hint="eastAsia" w:ascii="宋体" w:hAnsi="宋体" w:eastAsia="宋体" w:cs="黑体"/>
          <w:sz w:val="24"/>
          <w:highlight w:val="none"/>
          <w:lang w:eastAsia="zh-CN"/>
        </w:rPr>
        <w:t>渠道</w:t>
      </w:r>
      <w:r>
        <w:rPr>
          <w:rFonts w:hint="eastAsia" w:ascii="宋体" w:hAnsi="宋体" w:eastAsia="宋体" w:cs="黑体"/>
          <w:sz w:val="24"/>
          <w:highlight w:val="none"/>
        </w:rPr>
        <w:t>（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keepNext w:val="0"/>
        <w:keepLines w:val="0"/>
        <w:pageBreakBefore w:val="0"/>
        <w:widowControl/>
        <w:numPr>
          <w:ilvl w:val="0"/>
          <w:numId w:val="86"/>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lang w:val="en-US" w:eastAsia="zh-CN"/>
        </w:rPr>
      </w:pPr>
      <w:r>
        <w:rPr>
          <w:rFonts w:hint="eastAsia" w:ascii="宋体" w:hAnsi="宋体" w:eastAsia="宋体" w:cs="黑体"/>
          <w:sz w:val="24"/>
          <w:highlight w:val="none"/>
        </w:rPr>
        <w:t>投资者和</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双方在本协议及对应期次的理财计划产品说明书项下权利义务履行完毕之日，本协议自动终止。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420" w:firstLine="0"/>
        <w:contextualSpacing/>
        <w:textAlignment w:val="auto"/>
        <w:rPr>
          <w:rFonts w:hint="eastAsia" w:ascii="宋体" w:hAnsi="宋体" w:eastAsia="宋体" w:cs="黑体"/>
          <w:sz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Calibri" w:hAnsi="Calibri" w:eastAsia="宋体" w:cs="黑体"/>
          <w:b/>
          <w:bCs w:val="0"/>
          <w:sz w:val="24"/>
          <w:highlight w:val="none"/>
          <w:lang w:val="en-US" w:eastAsia="zh-CN"/>
        </w:rPr>
      </w:pPr>
      <w:r>
        <w:rPr>
          <w:rFonts w:hint="eastAsia" w:eastAsia="宋体" w:cs="黑体"/>
          <w:b/>
          <w:bCs w:val="0"/>
          <w:sz w:val="24"/>
          <w:highlight w:val="none"/>
          <w:lang w:val="en-US" w:eastAsia="zh-CN"/>
        </w:rPr>
        <w:t xml:space="preserve">第八条 </w:t>
      </w:r>
      <w:r>
        <w:rPr>
          <w:rFonts w:hint="eastAsia" w:ascii="Calibri" w:hAnsi="Calibri" w:eastAsia="宋体" w:cs="黑体"/>
          <w:b/>
          <w:bCs w:val="0"/>
          <w:sz w:val="24"/>
          <w:highlight w:val="none"/>
          <w:lang w:val="en-US" w:eastAsia="zh-CN"/>
        </w:rPr>
        <w:t xml:space="preserve">附则 </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如果投资者与</w:t>
      </w:r>
      <w:r>
        <w:rPr>
          <w:rFonts w:hint="eastAsia" w:ascii="宋体" w:hAnsi="宋体" w:eastAsia="宋体" w:cs="黑体"/>
          <w:sz w:val="24"/>
          <w:highlight w:val="none"/>
          <w:lang w:val="en-US" w:eastAsia="zh-CN"/>
        </w:rPr>
        <w:t>销售机构</w:t>
      </w:r>
      <w:r>
        <w:rPr>
          <w:rFonts w:hint="eastAsia" w:ascii="宋体" w:hAnsi="宋体" w:eastAsia="宋体" w:cs="黑体"/>
          <w:sz w:val="24"/>
          <w:highlight w:val="none"/>
        </w:rPr>
        <w:t>之间存在多份理财计划</w:t>
      </w:r>
      <w:r>
        <w:rPr>
          <w:rFonts w:hint="eastAsia" w:ascii="宋体" w:hAnsi="宋体" w:eastAsia="宋体" w:cs="黑体"/>
          <w:sz w:val="24"/>
          <w:highlight w:val="none"/>
          <w:lang w:val="en-US" w:eastAsia="zh-CN"/>
        </w:rPr>
        <w:t>销售</w:t>
      </w:r>
      <w:r>
        <w:rPr>
          <w:rFonts w:hint="eastAsia" w:ascii="宋体" w:hAnsi="宋体" w:eastAsia="宋体" w:cs="黑体"/>
          <w:sz w:val="24"/>
          <w:highlight w:val="none"/>
        </w:rPr>
        <w:t>协议书，则每一协议书分别与其所对应的</w:t>
      </w:r>
      <w:r>
        <w:rPr>
          <w:rFonts w:hint="eastAsia" w:ascii="宋体" w:hAnsi="宋体" w:eastAsia="宋体" w:cs="黑体"/>
          <w:sz w:val="24"/>
          <w:highlight w:val="none"/>
          <w:lang w:val="en-US" w:eastAsia="zh-CN"/>
        </w:rPr>
        <w:t>理财计划</w:t>
      </w:r>
      <w:r>
        <w:rPr>
          <w:rFonts w:hint="eastAsia" w:ascii="宋体" w:hAnsi="宋体" w:eastAsia="宋体" w:cs="黑体"/>
          <w:sz w:val="24"/>
          <w:highlight w:val="none"/>
        </w:rPr>
        <w:t>产品说明书等销售文本单独构成一个理财计划合同，各个合同之间互相独立，每一合同的效力及履行情况均独立于其他合同。</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如果由于任何原因使本合同下的任何条款或内容成为无效或被依法撤销，本合同其他条款或内容的合法性、有效性和可执行性不受影响。</w:t>
      </w:r>
    </w:p>
    <w:p>
      <w:pPr>
        <w:keepNext w:val="0"/>
        <w:keepLines w:val="0"/>
        <w:pageBreakBefore w:val="0"/>
        <w:widowControl/>
        <w:numPr>
          <w:ilvl w:val="0"/>
          <w:numId w:val="87"/>
        </w:numPr>
        <w:kinsoku/>
        <w:wordWrap/>
        <w:overflowPunct/>
        <w:topLinePunct w:val="0"/>
        <w:autoSpaceDE/>
        <w:autoSpaceDN/>
        <w:bidi w:val="0"/>
        <w:adjustRightInd/>
        <w:snapToGrid/>
        <w:spacing w:line="360" w:lineRule="auto"/>
        <w:ind w:left="0" w:leftChars="0" w:firstLine="420" w:firstLineChars="0"/>
        <w:contextualSpacing/>
        <w:textAlignment w:val="auto"/>
        <w:outlineLvl w:val="9"/>
        <w:rPr>
          <w:rFonts w:hint="eastAsia" w:ascii="宋体" w:hAnsi="宋体" w:eastAsia="宋体" w:cs="黑体"/>
          <w:sz w:val="24"/>
          <w:highlight w:val="none"/>
        </w:rPr>
      </w:pPr>
      <w:r>
        <w:rPr>
          <w:rFonts w:hint="eastAsia" w:ascii="宋体" w:hAnsi="宋体" w:eastAsia="宋体" w:cs="黑体"/>
          <w:sz w:val="24"/>
          <w:highlight w:val="none"/>
        </w:rPr>
        <w:t>在理财计划存续期内，如因监管政策或法律法规发生变化，在不损害投资者利益的前提下，</w:t>
      </w:r>
      <w:r>
        <w:rPr>
          <w:rFonts w:hint="eastAsia" w:ascii="宋体" w:hAnsi="宋体" w:eastAsia="宋体" w:cs="黑体"/>
          <w:sz w:val="24"/>
          <w:highlight w:val="none"/>
          <w:lang w:val="en-US" w:eastAsia="zh-CN"/>
        </w:rPr>
        <w:t>管理人</w:t>
      </w:r>
      <w:r>
        <w:rPr>
          <w:rFonts w:hint="eastAsia" w:ascii="宋体" w:hAnsi="宋体" w:eastAsia="宋体" w:cs="黑体"/>
          <w:sz w:val="24"/>
          <w:highlight w:val="none"/>
        </w:rPr>
        <w:t>有权单方对理财计划</w:t>
      </w:r>
      <w:r>
        <w:rPr>
          <w:rFonts w:hint="default" w:ascii="宋体" w:hAnsi="宋体" w:eastAsia="宋体" w:cs="黑体"/>
          <w:sz w:val="24"/>
          <w:highlight w:val="none"/>
          <w:lang w:val="en-US"/>
        </w:rPr>
        <w:t>合同</w:t>
      </w:r>
      <w:r>
        <w:rPr>
          <w:rFonts w:hint="eastAsia" w:ascii="宋体" w:hAnsi="宋体" w:eastAsia="宋体" w:cs="黑体"/>
          <w:sz w:val="24"/>
          <w:highlight w:val="none"/>
          <w:lang w:val="en-US" w:eastAsia="zh-CN"/>
        </w:rPr>
        <w:t>销售文件</w:t>
      </w:r>
      <w:r>
        <w:rPr>
          <w:rFonts w:hint="eastAsia" w:ascii="宋体" w:hAnsi="宋体" w:eastAsia="宋体" w:cs="黑体"/>
          <w:sz w:val="24"/>
          <w:highlight w:val="none"/>
        </w:rPr>
        <w:t>进行修订。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0"/>
        <w:contextualSpacing/>
        <w:textAlignment w:val="auto"/>
        <w:rPr>
          <w:rFonts w:hint="eastAsia" w:ascii="宋体" w:hAnsi="宋体" w:eastAsia="宋体" w:cs="黑体"/>
          <w:sz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highlight w:val="none"/>
          <w:lang w:val="en-US" w:eastAsia="zh-CN"/>
        </w:rPr>
      </w:pPr>
    </w:p>
    <w:p>
      <w:pPr>
        <w:widowControl/>
        <w:spacing w:line="360" w:lineRule="auto"/>
        <w:jc w:val="right"/>
        <w:rPr>
          <w:rFonts w:hint="eastAsia" w:ascii="宋体" w:hAnsi="宋体" w:eastAsia="宋体" w:cs="黑体"/>
          <w:b w:val="0"/>
          <w:bCs w:val="0"/>
          <w:sz w:val="24"/>
          <w:szCs w:val="24"/>
          <w:highlight w:val="none"/>
          <w:lang w:val="en-US" w:eastAsia="zh-CN"/>
        </w:rPr>
      </w:pPr>
      <w:r>
        <w:rPr>
          <w:rFonts w:hint="eastAsia" w:ascii="宋体" w:hAnsi="宋体" w:eastAsia="宋体" w:cs="宋体"/>
          <w:kern w:val="0"/>
          <w:sz w:val="24"/>
          <w:szCs w:val="24"/>
          <w:highlight w:val="none"/>
          <w:lang w:val="en-US" w:eastAsia="zh-CN" w:bidi="ar-SA"/>
        </w:rPr>
        <w:t>杭银理财有限责任公司</w:t>
      </w:r>
    </w:p>
    <w:p>
      <w:pPr>
        <w:rPr>
          <w:rFonts w:hint="eastAsia"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br w:type="page"/>
      </w:r>
    </w:p>
    <w:p>
      <w:pPr>
        <w:rPr>
          <w:rFonts w:hint="default" w:ascii="宋体" w:hAnsi="宋体" w:eastAsia="宋体" w:cs="黑体"/>
          <w:b w:val="0"/>
          <w:bCs w:val="0"/>
          <w:sz w:val="24"/>
          <w:szCs w:val="24"/>
          <w:highlight w:val="none"/>
          <w:lang w:val="en-US" w:eastAsia="zh-CN"/>
        </w:rPr>
      </w:pPr>
      <w:r>
        <w:rPr>
          <w:rFonts w:hint="eastAsia" w:ascii="宋体" w:hAnsi="宋体" w:eastAsia="宋体" w:cs="黑体"/>
          <w:b w:val="0"/>
          <w:bCs w:val="0"/>
          <w:sz w:val="24"/>
          <w:szCs w:val="24"/>
          <w:highlight w:val="none"/>
          <w:lang w:val="en-US" w:eastAsia="zh-CN"/>
        </w:rPr>
        <w:t>本页为</w:t>
      </w:r>
      <w:r>
        <w:rPr>
          <w:rFonts w:hint="eastAsia" w:ascii="宋体" w:hAnsi="宋体" w:eastAsia="宋体" w:cs="黑体"/>
          <w:b w:val="0"/>
          <w:bCs w:val="0"/>
          <w:sz w:val="24"/>
          <w:szCs w:val="24"/>
          <w:highlight w:val="none"/>
        </w:rPr>
        <w:t>纸质</w:t>
      </w:r>
      <w:r>
        <w:rPr>
          <w:rFonts w:hint="eastAsia" w:ascii="宋体" w:hAnsi="宋体" w:eastAsia="宋体" w:cs="黑体"/>
          <w:b w:val="0"/>
          <w:bCs w:val="0"/>
          <w:sz w:val="24"/>
          <w:szCs w:val="24"/>
          <w:highlight w:val="none"/>
          <w:lang w:val="en-US" w:eastAsia="zh-CN"/>
        </w:rPr>
        <w:t>形式（如有）销售协议书签章页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sz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r>
        <w:rPr>
          <w:rFonts w:hint="eastAsia" w:ascii="宋体" w:hAnsi="宋体" w:eastAsia="宋体" w:cs="黑体"/>
          <w:b/>
          <w:bCs/>
          <w:sz w:val="24"/>
          <w:highlight w:val="none"/>
        </w:rPr>
        <w:t>投资者</w:t>
      </w:r>
      <w:r>
        <w:rPr>
          <w:rFonts w:hint="eastAsia" w:ascii="宋体" w:hAnsi="宋体" w:eastAsia="宋体" w:cs="黑体"/>
          <w:b/>
          <w:bCs/>
          <w:sz w:val="24"/>
          <w:highlight w:val="none"/>
          <w:lang w:eastAsia="zh-CN"/>
        </w:rPr>
        <w:t>（</w:t>
      </w:r>
      <w:r>
        <w:rPr>
          <w:rFonts w:hint="eastAsia" w:ascii="宋体" w:hAnsi="宋体" w:eastAsia="宋体" w:cs="黑体"/>
          <w:b/>
          <w:bCs/>
          <w:sz w:val="24"/>
          <w:highlight w:val="none"/>
        </w:rPr>
        <w:t>签字</w:t>
      </w:r>
      <w:r>
        <w:rPr>
          <w:rFonts w:hint="eastAsia" w:ascii="宋体" w:hAnsi="宋体" w:eastAsia="宋体" w:cs="黑体"/>
          <w:b/>
          <w:bCs/>
          <w:sz w:val="24"/>
          <w:highlight w:val="none"/>
          <w:lang w:eastAsia="zh-CN"/>
        </w:rPr>
        <w:t>或签章）</w:t>
      </w:r>
      <w:r>
        <w:rPr>
          <w:rFonts w:hint="eastAsia" w:ascii="宋体" w:hAnsi="宋体" w:eastAsia="宋体" w:cs="黑体"/>
          <w:b/>
          <w:bCs/>
          <w:sz w:val="24"/>
          <w:szCs w:val="24"/>
          <w:highlight w:val="none"/>
          <w:lang w:eastAsia="zh-CN"/>
        </w:rPr>
        <w:t>：</w:t>
      </w:r>
    </w:p>
    <w:p>
      <w:pPr>
        <w:spacing w:before="156" w:beforeLines="50" w:after="156" w:afterLines="50" w:line="360" w:lineRule="auto"/>
        <w:ind w:firstLine="4800" w:firstLineChars="2000"/>
        <w:jc w:val="right"/>
        <w:rPr>
          <w:rFonts w:hint="eastAsia" w:ascii="Arial" w:hAnsi="Arial"/>
          <w:sz w:val="24"/>
          <w:highlight w:val="none"/>
        </w:rPr>
      </w:pPr>
      <w:r>
        <w:rPr>
          <w:rFonts w:hint="eastAsia" w:ascii="Arial" w:hAnsi="Arial"/>
          <w:sz w:val="24"/>
          <w:highlight w:val="none"/>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r>
        <w:rPr>
          <w:rFonts w:hint="eastAsia" w:ascii="宋体" w:hAnsi="宋体" w:eastAsia="宋体" w:cs="黑体"/>
          <w:b/>
          <w:bCs/>
          <w:sz w:val="24"/>
          <w:highlight w:val="none"/>
        </w:rPr>
        <w:t>销售机构签章</w:t>
      </w:r>
      <w:r>
        <w:rPr>
          <w:rFonts w:hint="eastAsia" w:ascii="宋体" w:hAnsi="宋体" w:eastAsia="宋体" w:cs="黑体"/>
          <w:b/>
          <w:bCs/>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黑体"/>
          <w:b/>
          <w:bCs/>
          <w:sz w:val="24"/>
          <w:szCs w:val="24"/>
          <w:highlight w:val="none"/>
          <w:lang w:eastAsia="zh-CN"/>
        </w:rPr>
      </w:pPr>
    </w:p>
    <w:p>
      <w:pPr>
        <w:spacing w:before="156" w:beforeLines="50" w:after="156" w:afterLines="50" w:line="360" w:lineRule="auto"/>
        <w:ind w:firstLine="4800" w:firstLineChars="2000"/>
        <w:jc w:val="right"/>
        <w:rPr>
          <w:rFonts w:ascii="宋体" w:hAnsi="宋体" w:cs="宋体"/>
          <w:bCs/>
          <w:color w:val="000000"/>
          <w:sz w:val="24"/>
        </w:rPr>
      </w:pPr>
      <w:r>
        <w:rPr>
          <w:rFonts w:hint="eastAsia" w:ascii="Arial" w:hAnsi="Arial"/>
          <w:sz w:val="24"/>
          <w:highlight w:val="none"/>
        </w:rPr>
        <w:t xml:space="preserve">   年   月   日</w:t>
      </w:r>
    </w:p>
    <w:p>
      <w:pPr>
        <w:spacing w:before="156" w:beforeLines="50" w:after="156" w:afterLines="50" w:line="360" w:lineRule="auto"/>
        <w:ind w:firstLine="0" w:firstLineChars="0"/>
        <w:jc w:val="cente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59E74B3"/>
    <w:multiLevelType w:val="singleLevel"/>
    <w:tmpl w:val="859E74B3"/>
    <w:lvl w:ilvl="0" w:tentative="0">
      <w:start w:val="1"/>
      <w:numFmt w:val="decimal"/>
      <w:suff w:val="nothing"/>
      <w:lvlText w:val="（%1）"/>
      <w:lvlJc w:val="left"/>
    </w:lvl>
  </w:abstractNum>
  <w:abstractNum w:abstractNumId="4">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5">
    <w:nsid w:val="8906C252"/>
    <w:multiLevelType w:val="singleLevel"/>
    <w:tmpl w:val="8906C252"/>
    <w:lvl w:ilvl="0" w:tentative="0">
      <w:start w:val="1"/>
      <w:numFmt w:val="decimal"/>
      <w:suff w:val="nothing"/>
      <w:lvlText w:val="（%1）"/>
      <w:lvlJc w:val="left"/>
      <w:rPr>
        <w:rFonts w:hint="default"/>
        <w:b w:val="0"/>
        <w:bCs w:val="0"/>
      </w:rPr>
    </w:lvl>
  </w:abstractNum>
  <w:abstractNum w:abstractNumId="6">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7">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8">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9">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10">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11">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2">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3">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4">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5">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6">
    <w:nsid w:val="AC40BB97"/>
    <w:multiLevelType w:val="singleLevel"/>
    <w:tmpl w:val="AC40BB97"/>
    <w:lvl w:ilvl="0" w:tentative="0">
      <w:start w:val="1"/>
      <w:numFmt w:val="chineseCounting"/>
      <w:suff w:val="nothing"/>
      <w:lvlText w:val="%1、"/>
      <w:lvlJc w:val="left"/>
      <w:rPr>
        <w:rFonts w:hint="eastAsia"/>
      </w:rPr>
    </w:lvl>
  </w:abstractNum>
  <w:abstractNum w:abstractNumId="17">
    <w:nsid w:val="AC8426DA"/>
    <w:multiLevelType w:val="singleLevel"/>
    <w:tmpl w:val="AC8426DA"/>
    <w:lvl w:ilvl="0" w:tentative="0">
      <w:start w:val="1"/>
      <w:numFmt w:val="decimal"/>
      <w:lvlText w:val="%1."/>
      <w:lvlJc w:val="left"/>
      <w:pPr>
        <w:tabs>
          <w:tab w:val="left" w:pos="312"/>
        </w:tabs>
      </w:pPr>
    </w:lvl>
  </w:abstractNum>
  <w:abstractNum w:abstractNumId="18">
    <w:nsid w:val="AF5FAE6B"/>
    <w:multiLevelType w:val="singleLevel"/>
    <w:tmpl w:val="AF5FAE6B"/>
    <w:lvl w:ilvl="0" w:tentative="0">
      <w:start w:val="1"/>
      <w:numFmt w:val="chineseCounting"/>
      <w:suff w:val="nothing"/>
      <w:lvlText w:val="（%1）"/>
      <w:lvlJc w:val="left"/>
      <w:pPr>
        <w:ind w:left="0" w:firstLine="420"/>
      </w:pPr>
      <w:rPr>
        <w:rFonts w:hint="eastAsia"/>
      </w:rPr>
    </w:lvl>
  </w:abstractNum>
  <w:abstractNum w:abstractNumId="19">
    <w:nsid w:val="B08226EF"/>
    <w:multiLevelType w:val="singleLevel"/>
    <w:tmpl w:val="B08226EF"/>
    <w:lvl w:ilvl="0" w:tentative="0">
      <w:start w:val="1"/>
      <w:numFmt w:val="chineseCounting"/>
      <w:suff w:val="space"/>
      <w:lvlText w:val="第%1条"/>
      <w:lvlJc w:val="left"/>
      <w:rPr>
        <w:rFonts w:hint="eastAsia"/>
      </w:rPr>
    </w:lvl>
  </w:abstractNum>
  <w:abstractNum w:abstractNumId="20">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21">
    <w:nsid w:val="BA7A462A"/>
    <w:multiLevelType w:val="singleLevel"/>
    <w:tmpl w:val="BA7A462A"/>
    <w:lvl w:ilvl="0" w:tentative="0">
      <w:start w:val="1"/>
      <w:numFmt w:val="decimal"/>
      <w:suff w:val="nothing"/>
      <w:lvlText w:val="（%1）"/>
      <w:lvlJc w:val="left"/>
    </w:lvl>
  </w:abstractNum>
  <w:abstractNum w:abstractNumId="22">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23">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4">
    <w:nsid w:val="C93773F8"/>
    <w:multiLevelType w:val="singleLevel"/>
    <w:tmpl w:val="C93773F8"/>
    <w:lvl w:ilvl="0" w:tentative="0">
      <w:start w:val="1"/>
      <w:numFmt w:val="decimal"/>
      <w:suff w:val="nothing"/>
      <w:lvlText w:val="（%1）"/>
      <w:lvlJc w:val="left"/>
    </w:lvl>
  </w:abstractNum>
  <w:abstractNum w:abstractNumId="25">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6">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8">
    <w:nsid w:val="D8D75090"/>
    <w:multiLevelType w:val="singleLevel"/>
    <w:tmpl w:val="D8D75090"/>
    <w:lvl w:ilvl="0" w:tentative="0">
      <w:start w:val="1"/>
      <w:numFmt w:val="decimal"/>
      <w:suff w:val="nothing"/>
      <w:lvlText w:val="（%1）"/>
      <w:lvlJc w:val="left"/>
      <w:rPr>
        <w:rFonts w:hint="default"/>
        <w:b w:val="0"/>
        <w:bCs w:val="0"/>
      </w:rPr>
    </w:lvl>
  </w:abstractNum>
  <w:abstractNum w:abstractNumId="29">
    <w:nsid w:val="DD2251DF"/>
    <w:multiLevelType w:val="singleLevel"/>
    <w:tmpl w:val="DD2251DF"/>
    <w:lvl w:ilvl="0" w:tentative="0">
      <w:start w:val="1"/>
      <w:numFmt w:val="decimal"/>
      <w:suff w:val="nothing"/>
      <w:lvlText w:val="（%1）"/>
      <w:lvlJc w:val="left"/>
      <w:rPr>
        <w:rFonts w:hint="default"/>
        <w:b w:val="0"/>
        <w:bCs w:val="0"/>
      </w:rPr>
    </w:lvl>
  </w:abstractNum>
  <w:abstractNum w:abstractNumId="30">
    <w:nsid w:val="DE51CBE6"/>
    <w:multiLevelType w:val="singleLevel"/>
    <w:tmpl w:val="DE51CBE6"/>
    <w:lvl w:ilvl="0" w:tentative="0">
      <w:start w:val="1"/>
      <w:numFmt w:val="decimal"/>
      <w:suff w:val="nothing"/>
      <w:lvlText w:val="（%1）"/>
      <w:lvlJc w:val="left"/>
    </w:lvl>
  </w:abstractNum>
  <w:abstractNum w:abstractNumId="31">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32">
    <w:nsid w:val="E70DF796"/>
    <w:multiLevelType w:val="singleLevel"/>
    <w:tmpl w:val="E70DF796"/>
    <w:lvl w:ilvl="0" w:tentative="0">
      <w:start w:val="1"/>
      <w:numFmt w:val="decimal"/>
      <w:suff w:val="nothing"/>
      <w:lvlText w:val="（%1）"/>
      <w:lvlJc w:val="left"/>
    </w:lvl>
  </w:abstractNum>
  <w:abstractNum w:abstractNumId="33">
    <w:nsid w:val="EFF37F09"/>
    <w:multiLevelType w:val="singleLevel"/>
    <w:tmpl w:val="EFF37F09"/>
    <w:lvl w:ilvl="0" w:tentative="0">
      <w:start w:val="1"/>
      <w:numFmt w:val="decimal"/>
      <w:suff w:val="nothing"/>
      <w:lvlText w:val="（%1）"/>
      <w:lvlJc w:val="left"/>
      <w:rPr>
        <w:rFonts w:hint="default"/>
        <w:b w:val="0"/>
        <w:bCs w:val="0"/>
      </w:rPr>
    </w:lvl>
  </w:abstractNum>
  <w:abstractNum w:abstractNumId="34">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5">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6">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7">
    <w:nsid w:val="F574F5B6"/>
    <w:multiLevelType w:val="singleLevel"/>
    <w:tmpl w:val="F574F5B6"/>
    <w:lvl w:ilvl="0" w:tentative="0">
      <w:start w:val="1"/>
      <w:numFmt w:val="decimal"/>
      <w:suff w:val="nothing"/>
      <w:lvlText w:val="（%1）"/>
      <w:lvlJc w:val="left"/>
    </w:lvl>
  </w:abstractNum>
  <w:abstractNum w:abstractNumId="38">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9">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40">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41">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42">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3">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4">
    <w:nsid w:val="167B0BB4"/>
    <w:multiLevelType w:val="singleLevel"/>
    <w:tmpl w:val="167B0BB4"/>
    <w:lvl w:ilvl="0" w:tentative="0">
      <w:start w:val="1"/>
      <w:numFmt w:val="decimal"/>
      <w:suff w:val="nothing"/>
      <w:lvlText w:val="（%1）"/>
      <w:lvlJc w:val="left"/>
    </w:lvl>
  </w:abstractNum>
  <w:abstractNum w:abstractNumId="45">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6">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7">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8">
    <w:nsid w:val="2CB63BE6"/>
    <w:multiLevelType w:val="singleLevel"/>
    <w:tmpl w:val="2CB63BE6"/>
    <w:lvl w:ilvl="0" w:tentative="0">
      <w:start w:val="1"/>
      <w:numFmt w:val="decimal"/>
      <w:suff w:val="nothing"/>
      <w:lvlText w:val="（%1）"/>
      <w:lvlJc w:val="left"/>
      <w:rPr>
        <w:rFonts w:hint="default"/>
        <w:b w:val="0"/>
        <w:bCs w:val="0"/>
      </w:rPr>
    </w:lvl>
  </w:abstractNum>
  <w:abstractNum w:abstractNumId="49">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5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51">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52">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3">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4">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5">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6">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7">
    <w:nsid w:val="4D152F81"/>
    <w:multiLevelType w:val="singleLevel"/>
    <w:tmpl w:val="4D152F81"/>
    <w:lvl w:ilvl="0" w:tentative="0">
      <w:start w:val="1"/>
      <w:numFmt w:val="decimal"/>
      <w:lvlText w:val="%1."/>
      <w:lvlJc w:val="left"/>
      <w:pPr>
        <w:tabs>
          <w:tab w:val="left" w:pos="312"/>
        </w:tabs>
      </w:pPr>
    </w:lvl>
  </w:abstractNum>
  <w:abstractNum w:abstractNumId="5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6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61">
    <w:nsid w:val="5BA91325"/>
    <w:multiLevelType w:val="singleLevel"/>
    <w:tmpl w:val="5BA91325"/>
    <w:lvl w:ilvl="0" w:tentative="0">
      <w:start w:val="1"/>
      <w:numFmt w:val="decimal"/>
      <w:suff w:val="nothing"/>
      <w:lvlText w:val="（%1）"/>
      <w:lvlJc w:val="left"/>
    </w:lvl>
  </w:abstractNum>
  <w:abstractNum w:abstractNumId="62">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63">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64">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65">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66">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7">
    <w:nsid w:val="60C03933"/>
    <w:multiLevelType w:val="singleLevel"/>
    <w:tmpl w:val="60C03933"/>
    <w:lvl w:ilvl="0" w:tentative="0">
      <w:start w:val="1"/>
      <w:numFmt w:val="chineseCounting"/>
      <w:suff w:val="nothing"/>
      <w:lvlText w:val="（%1）"/>
      <w:lvlJc w:val="left"/>
      <w:pPr>
        <w:ind w:left="0" w:firstLine="420"/>
      </w:pPr>
      <w:rPr>
        <w:rFonts w:hint="eastAsia"/>
      </w:rPr>
    </w:lvl>
  </w:abstractNum>
  <w:abstractNum w:abstractNumId="68">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69">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70">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71">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72">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73">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4">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75">
    <w:nsid w:val="60C03F4B"/>
    <w:multiLevelType w:val="singleLevel"/>
    <w:tmpl w:val="60C03F4B"/>
    <w:lvl w:ilvl="0" w:tentative="0">
      <w:start w:val="1"/>
      <w:numFmt w:val="chineseCounting"/>
      <w:suff w:val="nothing"/>
      <w:lvlText w:val="（%1）"/>
      <w:lvlJc w:val="left"/>
      <w:pPr>
        <w:ind w:left="0" w:firstLine="420"/>
      </w:pPr>
      <w:rPr>
        <w:rFonts w:hint="eastAsia"/>
      </w:rPr>
    </w:lvl>
  </w:abstractNum>
  <w:abstractNum w:abstractNumId="76">
    <w:nsid w:val="61CBC088"/>
    <w:multiLevelType w:val="singleLevel"/>
    <w:tmpl w:val="61CBC088"/>
    <w:lvl w:ilvl="0" w:tentative="0">
      <w:start w:val="1"/>
      <w:numFmt w:val="chineseCounting"/>
      <w:suff w:val="nothing"/>
      <w:lvlText w:val="（%1）"/>
      <w:lvlJc w:val="left"/>
      <w:pPr>
        <w:ind w:left="0" w:firstLine="420"/>
      </w:pPr>
      <w:rPr>
        <w:rFonts w:hint="eastAsia"/>
        <w:b w:val="0"/>
        <w:bCs w:val="0"/>
      </w:rPr>
    </w:lvl>
  </w:abstractNum>
  <w:abstractNum w:abstractNumId="77">
    <w:nsid w:val="61CBC11F"/>
    <w:multiLevelType w:val="singleLevel"/>
    <w:tmpl w:val="61CBC11F"/>
    <w:lvl w:ilvl="0" w:tentative="0">
      <w:start w:val="1"/>
      <w:numFmt w:val="chineseCounting"/>
      <w:suff w:val="nothing"/>
      <w:lvlText w:val="（%1）"/>
      <w:lvlJc w:val="left"/>
      <w:pPr>
        <w:ind w:left="0" w:firstLine="420"/>
      </w:pPr>
      <w:rPr>
        <w:rFonts w:hint="eastAsia"/>
      </w:rPr>
    </w:lvl>
  </w:abstractNum>
  <w:abstractNum w:abstractNumId="78">
    <w:nsid w:val="61CBC1A0"/>
    <w:multiLevelType w:val="singleLevel"/>
    <w:tmpl w:val="61CBC1A0"/>
    <w:lvl w:ilvl="0" w:tentative="0">
      <w:start w:val="1"/>
      <w:numFmt w:val="chineseCounting"/>
      <w:suff w:val="nothing"/>
      <w:lvlText w:val="（%1）"/>
      <w:lvlJc w:val="left"/>
      <w:pPr>
        <w:ind w:left="0" w:firstLine="420"/>
      </w:pPr>
      <w:rPr>
        <w:rFonts w:hint="eastAsia"/>
      </w:rPr>
    </w:lvl>
  </w:abstractNum>
  <w:abstractNum w:abstractNumId="79">
    <w:nsid w:val="61CBC209"/>
    <w:multiLevelType w:val="singleLevel"/>
    <w:tmpl w:val="61CBC209"/>
    <w:lvl w:ilvl="0" w:tentative="0">
      <w:start w:val="1"/>
      <w:numFmt w:val="chineseCounting"/>
      <w:suff w:val="nothing"/>
      <w:lvlText w:val="（%1）"/>
      <w:lvlJc w:val="left"/>
      <w:pPr>
        <w:ind w:left="0" w:firstLine="420"/>
      </w:pPr>
      <w:rPr>
        <w:rFonts w:hint="eastAsia"/>
      </w:rPr>
    </w:lvl>
  </w:abstractNum>
  <w:abstractNum w:abstractNumId="80">
    <w:nsid w:val="61CBC248"/>
    <w:multiLevelType w:val="singleLevel"/>
    <w:tmpl w:val="61CBC248"/>
    <w:lvl w:ilvl="0" w:tentative="0">
      <w:start w:val="2"/>
      <w:numFmt w:val="chineseCounting"/>
      <w:suff w:val="nothing"/>
      <w:lvlText w:val="（%1）"/>
      <w:lvlJc w:val="left"/>
      <w:pPr>
        <w:ind w:left="0" w:firstLine="420"/>
      </w:pPr>
      <w:rPr>
        <w:rFonts w:hint="eastAsia"/>
      </w:rPr>
    </w:lvl>
  </w:abstractNum>
  <w:abstractNum w:abstractNumId="81">
    <w:nsid w:val="61CBC28E"/>
    <w:multiLevelType w:val="singleLevel"/>
    <w:tmpl w:val="61CBC28E"/>
    <w:lvl w:ilvl="0" w:tentative="0">
      <w:start w:val="1"/>
      <w:numFmt w:val="chineseCounting"/>
      <w:suff w:val="nothing"/>
      <w:lvlText w:val="（%1）"/>
      <w:lvlJc w:val="left"/>
      <w:pPr>
        <w:ind w:left="0" w:firstLine="420"/>
      </w:pPr>
      <w:rPr>
        <w:rFonts w:hint="eastAsia"/>
      </w:rPr>
    </w:lvl>
  </w:abstractNum>
  <w:abstractNum w:abstractNumId="82">
    <w:nsid w:val="61F30F62"/>
    <w:multiLevelType w:val="singleLevel"/>
    <w:tmpl w:val="61F30F62"/>
    <w:lvl w:ilvl="0" w:tentative="0">
      <w:start w:val="1"/>
      <w:numFmt w:val="decimal"/>
      <w:suff w:val="nothing"/>
      <w:lvlText w:val="（%1）"/>
      <w:lvlJc w:val="left"/>
      <w:rPr>
        <w:rFonts w:hint="default"/>
        <w:b w:val="0"/>
        <w:bCs w:val="0"/>
      </w:rPr>
    </w:lvl>
  </w:abstractNum>
  <w:abstractNum w:abstractNumId="83">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84">
    <w:nsid w:val="6CC7912A"/>
    <w:multiLevelType w:val="singleLevel"/>
    <w:tmpl w:val="6CC7912A"/>
    <w:lvl w:ilvl="0" w:tentative="0">
      <w:start w:val="1"/>
      <w:numFmt w:val="decimal"/>
      <w:suff w:val="nothing"/>
      <w:lvlText w:val="（%1）"/>
      <w:lvlJc w:val="left"/>
    </w:lvl>
  </w:abstractNum>
  <w:abstractNum w:abstractNumId="85">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86">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6"/>
  </w:num>
  <w:num w:numId="2">
    <w:abstractNumId w:val="0"/>
  </w:num>
  <w:num w:numId="3">
    <w:abstractNumId w:val="53"/>
  </w:num>
  <w:num w:numId="4">
    <w:abstractNumId w:val="46"/>
  </w:num>
  <w:num w:numId="5">
    <w:abstractNumId w:val="85"/>
  </w:num>
  <w:num w:numId="6">
    <w:abstractNumId w:val="40"/>
  </w:num>
  <w:num w:numId="7">
    <w:abstractNumId w:val="86"/>
  </w:num>
  <w:num w:numId="8">
    <w:abstractNumId w:val="59"/>
  </w:num>
  <w:num w:numId="9">
    <w:abstractNumId w:val="55"/>
  </w:num>
  <w:num w:numId="10">
    <w:abstractNumId w:val="38"/>
  </w:num>
  <w:num w:numId="11">
    <w:abstractNumId w:val="35"/>
  </w:num>
  <w:num w:numId="12">
    <w:abstractNumId w:val="42"/>
  </w:num>
  <w:num w:numId="13">
    <w:abstractNumId w:val="34"/>
  </w:num>
  <w:num w:numId="14">
    <w:abstractNumId w:val="25"/>
  </w:num>
  <w:num w:numId="15">
    <w:abstractNumId w:val="13"/>
  </w:num>
  <w:num w:numId="16">
    <w:abstractNumId w:val="22"/>
  </w:num>
  <w:num w:numId="17">
    <w:abstractNumId w:val="10"/>
  </w:num>
  <w:num w:numId="18">
    <w:abstractNumId w:val="11"/>
  </w:num>
  <w:num w:numId="19">
    <w:abstractNumId w:val="9"/>
  </w:num>
  <w:num w:numId="20">
    <w:abstractNumId w:val="41"/>
  </w:num>
  <w:num w:numId="21">
    <w:abstractNumId w:val="7"/>
  </w:num>
  <w:num w:numId="22">
    <w:abstractNumId w:val="1"/>
  </w:num>
  <w:num w:numId="23">
    <w:abstractNumId w:val="54"/>
  </w:num>
  <w:num w:numId="24">
    <w:abstractNumId w:val="37"/>
  </w:num>
  <w:num w:numId="25">
    <w:abstractNumId w:val="30"/>
  </w:num>
  <w:num w:numId="26">
    <w:abstractNumId w:val="3"/>
  </w:num>
  <w:num w:numId="27">
    <w:abstractNumId w:val="61"/>
  </w:num>
  <w:num w:numId="28">
    <w:abstractNumId w:val="47"/>
  </w:num>
  <w:num w:numId="29">
    <w:abstractNumId w:val="27"/>
  </w:num>
  <w:num w:numId="30">
    <w:abstractNumId w:val="8"/>
  </w:num>
  <w:num w:numId="31">
    <w:abstractNumId w:val="58"/>
  </w:num>
  <w:num w:numId="32">
    <w:abstractNumId w:val="6"/>
  </w:num>
  <w:num w:numId="33">
    <w:abstractNumId w:val="17"/>
  </w:num>
  <w:num w:numId="34">
    <w:abstractNumId w:val="45"/>
  </w:num>
  <w:num w:numId="35">
    <w:abstractNumId w:val="83"/>
  </w:num>
  <w:num w:numId="36">
    <w:abstractNumId w:val="39"/>
  </w:num>
  <w:num w:numId="37">
    <w:abstractNumId w:val="26"/>
  </w:num>
  <w:num w:numId="38">
    <w:abstractNumId w:val="49"/>
  </w:num>
  <w:num w:numId="39">
    <w:abstractNumId w:val="24"/>
  </w:num>
  <w:num w:numId="40">
    <w:abstractNumId w:val="29"/>
  </w:num>
  <w:num w:numId="41">
    <w:abstractNumId w:val="52"/>
  </w:num>
  <w:num w:numId="42">
    <w:abstractNumId w:val="4"/>
  </w:num>
  <w:num w:numId="43">
    <w:abstractNumId w:val="31"/>
  </w:num>
  <w:num w:numId="44">
    <w:abstractNumId w:val="20"/>
  </w:num>
  <w:num w:numId="45">
    <w:abstractNumId w:val="57"/>
  </w:num>
  <w:num w:numId="46">
    <w:abstractNumId w:val="84"/>
  </w:num>
  <w:num w:numId="47">
    <w:abstractNumId w:val="21"/>
  </w:num>
  <w:num w:numId="48">
    <w:abstractNumId w:val="56"/>
  </w:num>
  <w:num w:numId="49">
    <w:abstractNumId w:val="43"/>
  </w:num>
  <w:num w:numId="50">
    <w:abstractNumId w:val="23"/>
  </w:num>
  <w:num w:numId="51">
    <w:abstractNumId w:val="36"/>
  </w:num>
  <w:num w:numId="52">
    <w:abstractNumId w:val="32"/>
  </w:num>
  <w:num w:numId="53">
    <w:abstractNumId w:val="33"/>
  </w:num>
  <w:num w:numId="54">
    <w:abstractNumId w:val="82"/>
  </w:num>
  <w:num w:numId="55">
    <w:abstractNumId w:val="48"/>
  </w:num>
  <w:num w:numId="56">
    <w:abstractNumId w:val="2"/>
  </w:num>
  <w:num w:numId="57">
    <w:abstractNumId w:val="60"/>
  </w:num>
  <w:num w:numId="58">
    <w:abstractNumId w:val="14"/>
  </w:num>
  <w:num w:numId="59">
    <w:abstractNumId w:val="12"/>
  </w:num>
  <w:num w:numId="60">
    <w:abstractNumId w:val="15"/>
  </w:num>
  <w:num w:numId="61">
    <w:abstractNumId w:val="44"/>
  </w:num>
  <w:num w:numId="62">
    <w:abstractNumId w:val="28"/>
  </w:num>
  <w:num w:numId="63">
    <w:abstractNumId w:val="5"/>
  </w:num>
  <w:num w:numId="64">
    <w:abstractNumId w:val="51"/>
  </w:num>
  <w:num w:numId="65">
    <w:abstractNumId w:val="69"/>
  </w:num>
  <w:num w:numId="66">
    <w:abstractNumId w:val="68"/>
  </w:num>
  <w:num w:numId="67">
    <w:abstractNumId w:val="70"/>
  </w:num>
  <w:num w:numId="68">
    <w:abstractNumId w:val="71"/>
  </w:num>
  <w:num w:numId="69">
    <w:abstractNumId w:val="72"/>
  </w:num>
  <w:num w:numId="70">
    <w:abstractNumId w:val="73"/>
  </w:num>
  <w:num w:numId="71">
    <w:abstractNumId w:val="74"/>
  </w:num>
  <w:num w:numId="72">
    <w:abstractNumId w:val="75"/>
  </w:num>
  <w:num w:numId="73">
    <w:abstractNumId w:val="50"/>
  </w:num>
  <w:num w:numId="74">
    <w:abstractNumId w:val="19"/>
  </w:num>
  <w:num w:numId="75">
    <w:abstractNumId w:val="62"/>
  </w:num>
  <w:num w:numId="76">
    <w:abstractNumId w:val="63"/>
  </w:num>
  <w:num w:numId="77">
    <w:abstractNumId w:val="64"/>
  </w:num>
  <w:num w:numId="78">
    <w:abstractNumId w:val="65"/>
  </w:num>
  <w:num w:numId="79">
    <w:abstractNumId w:val="66"/>
  </w:num>
  <w:num w:numId="80">
    <w:abstractNumId w:val="67"/>
  </w:num>
  <w:num w:numId="81">
    <w:abstractNumId w:val="76"/>
  </w:num>
  <w:num w:numId="82">
    <w:abstractNumId w:val="77"/>
  </w:num>
  <w:num w:numId="83">
    <w:abstractNumId w:val="18"/>
  </w:num>
  <w:num w:numId="84">
    <w:abstractNumId w:val="78"/>
  </w:num>
  <w:num w:numId="85">
    <w:abstractNumId w:val="79"/>
  </w:num>
  <w:num w:numId="86">
    <w:abstractNumId w:val="80"/>
  </w:num>
  <w:num w:numId="87">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5FD05B8"/>
    <w:rsid w:val="164976A9"/>
    <w:rsid w:val="178D1D7E"/>
    <w:rsid w:val="17EA7887"/>
    <w:rsid w:val="18321B09"/>
    <w:rsid w:val="18616AA2"/>
    <w:rsid w:val="191F0F43"/>
    <w:rsid w:val="197D2A54"/>
    <w:rsid w:val="19E235E1"/>
    <w:rsid w:val="1A7E4CCF"/>
    <w:rsid w:val="1BCD72C9"/>
    <w:rsid w:val="1BFB7C22"/>
    <w:rsid w:val="1C09008C"/>
    <w:rsid w:val="1D0817CE"/>
    <w:rsid w:val="1D851C70"/>
    <w:rsid w:val="1E635082"/>
    <w:rsid w:val="1F0F7AA5"/>
    <w:rsid w:val="1F962D64"/>
    <w:rsid w:val="1FFE508D"/>
    <w:rsid w:val="213B4CFA"/>
    <w:rsid w:val="21527232"/>
    <w:rsid w:val="21575C30"/>
    <w:rsid w:val="21B70797"/>
    <w:rsid w:val="21F67436"/>
    <w:rsid w:val="220D70EF"/>
    <w:rsid w:val="23D7DA24"/>
    <w:rsid w:val="24885625"/>
    <w:rsid w:val="24A063EA"/>
    <w:rsid w:val="24C8157C"/>
    <w:rsid w:val="255170B3"/>
    <w:rsid w:val="25BD3406"/>
    <w:rsid w:val="260415D7"/>
    <w:rsid w:val="26896537"/>
    <w:rsid w:val="27DB5649"/>
    <w:rsid w:val="284E53B8"/>
    <w:rsid w:val="28F73A05"/>
    <w:rsid w:val="29E223F6"/>
    <w:rsid w:val="2A7A79DE"/>
    <w:rsid w:val="2B5C1F0C"/>
    <w:rsid w:val="2BD054E2"/>
    <w:rsid w:val="2EAD6691"/>
    <w:rsid w:val="2F0D25D9"/>
    <w:rsid w:val="2F11F692"/>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B1C12F3"/>
    <w:rsid w:val="3B7F74DF"/>
    <w:rsid w:val="3BD53B5C"/>
    <w:rsid w:val="3BFDBE8B"/>
    <w:rsid w:val="3CC57F13"/>
    <w:rsid w:val="3D4C282D"/>
    <w:rsid w:val="3D970F4E"/>
    <w:rsid w:val="3DE106C6"/>
    <w:rsid w:val="3E540971"/>
    <w:rsid w:val="3E786275"/>
    <w:rsid w:val="3E931F0D"/>
    <w:rsid w:val="3F7E2660"/>
    <w:rsid w:val="3F7F862F"/>
    <w:rsid w:val="3F905A8D"/>
    <w:rsid w:val="3FA31FDD"/>
    <w:rsid w:val="3FFA261A"/>
    <w:rsid w:val="3FFFA04D"/>
    <w:rsid w:val="40A430BB"/>
    <w:rsid w:val="40E135DA"/>
    <w:rsid w:val="40FB25F3"/>
    <w:rsid w:val="41F528C8"/>
    <w:rsid w:val="427C1487"/>
    <w:rsid w:val="42FA026B"/>
    <w:rsid w:val="43C800C0"/>
    <w:rsid w:val="444440BE"/>
    <w:rsid w:val="44AC49CD"/>
    <w:rsid w:val="44B91F56"/>
    <w:rsid w:val="46184F00"/>
    <w:rsid w:val="466F6F60"/>
    <w:rsid w:val="46A726DE"/>
    <w:rsid w:val="471F4546"/>
    <w:rsid w:val="4745701D"/>
    <w:rsid w:val="47AC6180"/>
    <w:rsid w:val="48BF1281"/>
    <w:rsid w:val="4B2F6DF6"/>
    <w:rsid w:val="4CC51C60"/>
    <w:rsid w:val="4D3204EA"/>
    <w:rsid w:val="4D697EB1"/>
    <w:rsid w:val="4DFF95C2"/>
    <w:rsid w:val="4E08799D"/>
    <w:rsid w:val="4E2B414A"/>
    <w:rsid w:val="4F5679CC"/>
    <w:rsid w:val="501840BA"/>
    <w:rsid w:val="52B042C0"/>
    <w:rsid w:val="53827B5D"/>
    <w:rsid w:val="53E86B53"/>
    <w:rsid w:val="54D66C67"/>
    <w:rsid w:val="556B9EA3"/>
    <w:rsid w:val="568633C7"/>
    <w:rsid w:val="57061882"/>
    <w:rsid w:val="57280BF2"/>
    <w:rsid w:val="582C3B01"/>
    <w:rsid w:val="582D059F"/>
    <w:rsid w:val="582D396D"/>
    <w:rsid w:val="586A25AC"/>
    <w:rsid w:val="59083CAE"/>
    <w:rsid w:val="592570E8"/>
    <w:rsid w:val="59435FE6"/>
    <w:rsid w:val="59480030"/>
    <w:rsid w:val="59A3360E"/>
    <w:rsid w:val="5ADE2855"/>
    <w:rsid w:val="5B056CAE"/>
    <w:rsid w:val="5C664A4B"/>
    <w:rsid w:val="5CE67D31"/>
    <w:rsid w:val="5E5F4050"/>
    <w:rsid w:val="5F04726A"/>
    <w:rsid w:val="5F6D37D2"/>
    <w:rsid w:val="5F9C081D"/>
    <w:rsid w:val="5F9D8D66"/>
    <w:rsid w:val="5FBD1139"/>
    <w:rsid w:val="606677EA"/>
    <w:rsid w:val="60F34C3C"/>
    <w:rsid w:val="617668BD"/>
    <w:rsid w:val="61D01645"/>
    <w:rsid w:val="61D37DF9"/>
    <w:rsid w:val="63723353"/>
    <w:rsid w:val="64164D78"/>
    <w:rsid w:val="64993141"/>
    <w:rsid w:val="659F27EB"/>
    <w:rsid w:val="659F600E"/>
    <w:rsid w:val="670B831C"/>
    <w:rsid w:val="67CE6661"/>
    <w:rsid w:val="680A5A06"/>
    <w:rsid w:val="68B9403E"/>
    <w:rsid w:val="68D511B9"/>
    <w:rsid w:val="68FA6041"/>
    <w:rsid w:val="69827CEE"/>
    <w:rsid w:val="6B302E60"/>
    <w:rsid w:val="6BDE71F2"/>
    <w:rsid w:val="6C9577EB"/>
    <w:rsid w:val="6CBA3A99"/>
    <w:rsid w:val="6D3A1203"/>
    <w:rsid w:val="6DFF1F5A"/>
    <w:rsid w:val="6E9C369D"/>
    <w:rsid w:val="6EF41B11"/>
    <w:rsid w:val="6F527944"/>
    <w:rsid w:val="6F7FD338"/>
    <w:rsid w:val="702573F3"/>
    <w:rsid w:val="70B57531"/>
    <w:rsid w:val="70FA499F"/>
    <w:rsid w:val="70FB14AE"/>
    <w:rsid w:val="730C182D"/>
    <w:rsid w:val="73FC9A3F"/>
    <w:rsid w:val="751974A1"/>
    <w:rsid w:val="758B30E4"/>
    <w:rsid w:val="75F42331"/>
    <w:rsid w:val="761F7C3C"/>
    <w:rsid w:val="76683D2A"/>
    <w:rsid w:val="76C62D9E"/>
    <w:rsid w:val="76EDDC0D"/>
    <w:rsid w:val="77CE2F69"/>
    <w:rsid w:val="77F748F0"/>
    <w:rsid w:val="77FF016E"/>
    <w:rsid w:val="78244617"/>
    <w:rsid w:val="7A923507"/>
    <w:rsid w:val="7ACB640D"/>
    <w:rsid w:val="7BAFC4E9"/>
    <w:rsid w:val="7BFF1A29"/>
    <w:rsid w:val="7C044D89"/>
    <w:rsid w:val="7C5B8E26"/>
    <w:rsid w:val="7C63442B"/>
    <w:rsid w:val="7CEE7C42"/>
    <w:rsid w:val="7D3AA22F"/>
    <w:rsid w:val="7DE35ECA"/>
    <w:rsid w:val="7DF6638E"/>
    <w:rsid w:val="7DFF4E2E"/>
    <w:rsid w:val="7E1A0C5A"/>
    <w:rsid w:val="7E3212D3"/>
    <w:rsid w:val="7ECF6AFB"/>
    <w:rsid w:val="7F5F887D"/>
    <w:rsid w:val="7FCC7D05"/>
    <w:rsid w:val="7FEF42B8"/>
    <w:rsid w:val="7FFEAB68"/>
    <w:rsid w:val="8EEDA87E"/>
    <w:rsid w:val="8FFF2394"/>
    <w:rsid w:val="9FD01BC3"/>
    <w:rsid w:val="AEBA6F54"/>
    <w:rsid w:val="B3FE25BF"/>
    <w:rsid w:val="B7EFCE79"/>
    <w:rsid w:val="BE6E0F8F"/>
    <w:rsid w:val="C679D4D5"/>
    <w:rsid w:val="D3FFF2E3"/>
    <w:rsid w:val="D4B948F0"/>
    <w:rsid w:val="D7BE90C3"/>
    <w:rsid w:val="DE7F8D62"/>
    <w:rsid w:val="DFFF61C4"/>
    <w:rsid w:val="EAE6DD5D"/>
    <w:rsid w:val="F1C67B4E"/>
    <w:rsid w:val="F3F331A4"/>
    <w:rsid w:val="F3FF81F7"/>
    <w:rsid w:val="F7FE62B6"/>
    <w:rsid w:val="F7FFBCB9"/>
    <w:rsid w:val="F9EDDA97"/>
    <w:rsid w:val="FA543BA3"/>
    <w:rsid w:val="FD5FEFDB"/>
    <w:rsid w:val="FD7F9463"/>
    <w:rsid w:val="FDBA1D5F"/>
    <w:rsid w:val="FEAED78B"/>
    <w:rsid w:val="FFDB2BA5"/>
    <w:rsid w:val="FFF7BA26"/>
    <w:rsid w:val="FFFF1F3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9"/>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30"/>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paragraph" w:customStyle="1" w:styleId="25">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6">
    <w:name w:val="标题 2 Char"/>
    <w:link w:val="3"/>
    <w:qFormat/>
    <w:uiPriority w:val="0"/>
    <w:rPr>
      <w:rFonts w:ascii="Arial" w:hAnsi="Arial" w:eastAsia="宋体"/>
      <w:b/>
      <w:sz w:val="24"/>
    </w:rPr>
  </w:style>
  <w:style w:type="character" w:customStyle="1" w:styleId="27">
    <w:name w:val="标题 1 字符"/>
    <w:link w:val="2"/>
    <w:qFormat/>
    <w:uiPriority w:val="0"/>
    <w:rPr>
      <w:rFonts w:eastAsia="宋体"/>
      <w:b/>
      <w:kern w:val="44"/>
      <w:sz w:val="44"/>
    </w:rPr>
  </w:style>
  <w:style w:type="character" w:customStyle="1" w:styleId="28">
    <w:name w:val="标题 3 Char"/>
    <w:link w:val="4"/>
    <w:qFormat/>
    <w:uiPriority w:val="0"/>
    <w:rPr>
      <w:rFonts w:hAnsi="Calibri" w:eastAsia="宋体"/>
      <w:b/>
      <w:sz w:val="24"/>
    </w:rPr>
  </w:style>
  <w:style w:type="character" w:customStyle="1" w:styleId="29">
    <w:name w:val="标题 2 字符"/>
    <w:link w:val="3"/>
    <w:qFormat/>
    <w:uiPriority w:val="0"/>
    <w:rPr>
      <w:rFonts w:ascii="Arial" w:hAnsi="Arial" w:eastAsia="宋体"/>
      <w:b/>
      <w:sz w:val="24"/>
    </w:rPr>
  </w:style>
  <w:style w:type="character" w:customStyle="1" w:styleId="30">
    <w:name w:val="标题 3 字符"/>
    <w:link w:val="4"/>
    <w:qFormat/>
    <w:uiPriority w:val="0"/>
    <w:rPr>
      <w:rFonts w:hAnsi="Calibri" w:eastAsia="宋体"/>
      <w:b/>
      <w:sz w:val="24"/>
    </w:rPr>
  </w:style>
  <w:style w:type="table" w:customStyle="1" w:styleId="31">
    <w:name w:val="Table Normal"/>
    <w:unhideWhenUsed/>
    <w:qFormat/>
    <w:uiPriority w:val="0"/>
    <w:rPr>
      <w:lang w:val="en-US" w:eastAsia="zh-CN"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33877</Words>
  <Characters>34745</Characters>
  <Lines>1</Lines>
  <Paragraphs>1</Paragraphs>
  <TotalTime>1</TotalTime>
  <ScaleCrop>false</ScaleCrop>
  <LinksUpToDate>false</LinksUpToDate>
  <CharactersWithSpaces>35110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hccb</cp:lastModifiedBy>
  <dcterms:modified xsi:type="dcterms:W3CDTF">2026-05-18T02:28:15Z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8560DC726379B91FFE34016A5792DF72_43</vt:lpwstr>
  </property>
</Properties>
</file>